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AF" w:rsidRDefault="00F518F3" w:rsidP="00283E29">
      <w:pPr>
        <w:spacing w:after="60"/>
        <w:jc w:val="center"/>
        <w:rPr>
          <w:rFonts w:cs="Arial"/>
          <w:b/>
          <w:color w:val="000000" w:themeColor="text1"/>
        </w:rPr>
      </w:pPr>
      <w:r w:rsidRPr="001A00BC">
        <w:rPr>
          <w:rFonts w:cs="Arial"/>
          <w:b/>
          <w:color w:val="000000" w:themeColor="text1"/>
        </w:rPr>
        <w:t>Public Works Contracts and SB 854</w:t>
      </w:r>
    </w:p>
    <w:p w:rsidR="00283E29" w:rsidRPr="00283E29" w:rsidRDefault="00283E29" w:rsidP="00283E29">
      <w:pPr>
        <w:spacing w:after="60"/>
        <w:jc w:val="center"/>
        <w:rPr>
          <w:rFonts w:cs="Arial"/>
          <w:b/>
          <w:color w:val="000000" w:themeColor="text1"/>
        </w:rPr>
      </w:pPr>
    </w:p>
    <w:p w:rsidR="00F518F3" w:rsidRPr="00416215" w:rsidRDefault="00F518F3" w:rsidP="00653B61">
      <w:pPr>
        <w:spacing w:after="60"/>
        <w:jc w:val="both"/>
        <w:rPr>
          <w:rFonts w:cs="Arial"/>
          <w:vertAlign w:val="superscript"/>
        </w:rPr>
      </w:pPr>
      <w:r>
        <w:rPr>
          <w:rFonts w:cs="Arial"/>
          <w:color w:val="000000" w:themeColor="text1"/>
        </w:rPr>
        <w:t>Procurement and contracting for public works projects</w:t>
      </w:r>
      <w:r w:rsidRPr="00745DE3">
        <w:rPr>
          <w:rStyle w:val="FootnoteReference"/>
          <w:rFonts w:cs="Arial"/>
          <w:color w:val="000000" w:themeColor="text1"/>
        </w:rPr>
        <w:footnoteReference w:id="1"/>
      </w:r>
      <w:r>
        <w:rPr>
          <w:rFonts w:cs="Arial"/>
          <w:color w:val="000000" w:themeColor="text1"/>
        </w:rPr>
        <w:t xml:space="preserve"> involve significant requirements for JBEs and contractors relating to prevailing wage, including, but not limited to the following pursuant to SB 854 (Stat. 2014, Ch. 28):</w:t>
      </w:r>
    </w:p>
    <w:p w:rsidR="00F518F3" w:rsidRPr="00745DE3" w:rsidRDefault="00F518F3" w:rsidP="00F518F3">
      <w:pPr>
        <w:pStyle w:val="ListParagraph"/>
        <w:numPr>
          <w:ilvl w:val="0"/>
          <w:numId w:val="1"/>
        </w:numPr>
        <w:spacing w:after="120"/>
        <w:contextualSpacing w:val="0"/>
        <w:rPr>
          <w:rFonts w:cs="Arial"/>
          <w:color w:val="000000" w:themeColor="text1"/>
        </w:rPr>
      </w:pPr>
      <w:r w:rsidRPr="00745DE3">
        <w:rPr>
          <w:rFonts w:cs="Arial"/>
          <w:color w:val="000000" w:themeColor="text1"/>
        </w:rPr>
        <w:t xml:space="preserve">All bidders for public works contracts and their respective subcontractors </w:t>
      </w:r>
      <w:proofErr w:type="gramStart"/>
      <w:r w:rsidRPr="00745DE3">
        <w:rPr>
          <w:rFonts w:cs="Arial"/>
          <w:color w:val="000000" w:themeColor="text1"/>
        </w:rPr>
        <w:t>must be registered</w:t>
      </w:r>
      <w:proofErr w:type="gramEnd"/>
      <w:r w:rsidRPr="00745DE3">
        <w:rPr>
          <w:rFonts w:cs="Arial"/>
          <w:color w:val="000000" w:themeColor="text1"/>
        </w:rPr>
        <w:t xml:space="preserve"> with the </w:t>
      </w:r>
      <w:r>
        <w:rPr>
          <w:rFonts w:cs="Arial"/>
          <w:color w:val="000000" w:themeColor="text1"/>
        </w:rPr>
        <w:t>Department of Industrial Relations (</w:t>
      </w:r>
      <w:r w:rsidRPr="00745DE3">
        <w:rPr>
          <w:rFonts w:cs="Arial"/>
          <w:color w:val="000000" w:themeColor="text1"/>
        </w:rPr>
        <w:t>DIR</w:t>
      </w:r>
      <w:r>
        <w:rPr>
          <w:rFonts w:cs="Arial"/>
          <w:color w:val="000000" w:themeColor="text1"/>
        </w:rPr>
        <w:t>)</w:t>
      </w:r>
      <w:r w:rsidRPr="00745DE3">
        <w:rPr>
          <w:rFonts w:cs="Arial"/>
          <w:color w:val="000000" w:themeColor="text1"/>
        </w:rPr>
        <w:t>.</w:t>
      </w:r>
      <w:r>
        <w:rPr>
          <w:rStyle w:val="FootnoteReference"/>
          <w:rFonts w:cs="Arial"/>
          <w:color w:val="000000" w:themeColor="text1"/>
        </w:rPr>
        <w:footnoteReference w:id="2"/>
      </w:r>
      <w:r w:rsidRPr="00745DE3">
        <w:rPr>
          <w:rFonts w:cs="Arial"/>
          <w:color w:val="000000" w:themeColor="text1"/>
        </w:rPr>
        <w:t xml:space="preserve"> A bid shall not be accepted nor any contract or subcontract entered into for a public works project without proof of the contractor or subcontractor’s current registration with the DIR.</w:t>
      </w:r>
      <w:r>
        <w:rPr>
          <w:rStyle w:val="FootnoteReference"/>
          <w:rFonts w:cs="Arial"/>
          <w:color w:val="000000" w:themeColor="text1"/>
        </w:rPr>
        <w:footnoteReference w:id="3"/>
      </w:r>
    </w:p>
    <w:p w:rsidR="00F518F3" w:rsidRPr="007C6666" w:rsidRDefault="00F518F3" w:rsidP="00F518F3">
      <w:pPr>
        <w:pStyle w:val="ListParagraph"/>
        <w:numPr>
          <w:ilvl w:val="0"/>
          <w:numId w:val="1"/>
        </w:numPr>
        <w:spacing w:after="120"/>
        <w:contextualSpacing w:val="0"/>
        <w:rPr>
          <w:rStyle w:val="Hyperlink"/>
          <w:rFonts w:cs="Arial"/>
          <w:color w:val="000000" w:themeColor="text1"/>
        </w:rPr>
      </w:pPr>
      <w:r w:rsidRPr="00745DE3">
        <w:rPr>
          <w:rFonts w:cs="Arial"/>
          <w:color w:val="000000" w:themeColor="text1"/>
        </w:rPr>
        <w:t xml:space="preserve">A PWC 100 form </w:t>
      </w:r>
      <w:proofErr w:type="gramStart"/>
      <w:r w:rsidRPr="00745DE3">
        <w:rPr>
          <w:rFonts w:cs="Arial"/>
          <w:color w:val="000000" w:themeColor="text1"/>
        </w:rPr>
        <w:t>must be filed</w:t>
      </w:r>
      <w:proofErr w:type="gramEnd"/>
      <w:r w:rsidRPr="00745DE3">
        <w:rPr>
          <w:rFonts w:cs="Arial"/>
          <w:color w:val="000000" w:themeColor="text1"/>
        </w:rPr>
        <w:t xml:space="preserve"> by a JBE with the DIR within five days of the award of a public works contract.</w:t>
      </w:r>
      <w:r>
        <w:rPr>
          <w:rStyle w:val="FootnoteReference"/>
          <w:rFonts w:cs="Arial"/>
          <w:color w:val="000000" w:themeColor="text1"/>
        </w:rPr>
        <w:footnoteReference w:id="4"/>
      </w:r>
      <w:r w:rsidRPr="00745DE3">
        <w:rPr>
          <w:rFonts w:cs="Arial"/>
          <w:color w:val="000000" w:themeColor="text1"/>
        </w:rPr>
        <w:t xml:space="preserve"> PWC 100 forms can be submitted electronically to the DIR at: </w:t>
      </w:r>
      <w:hyperlink r:id="rId8" w:history="1">
        <w:r w:rsidRPr="00745DE3">
          <w:rPr>
            <w:rStyle w:val="Hyperlink"/>
            <w:rFonts w:cs="Arial"/>
            <w:color w:val="000000" w:themeColor="text1"/>
          </w:rPr>
          <w:t>https://www.dir.ca.gov/pwc100ext/</w:t>
        </w:r>
      </w:hyperlink>
    </w:p>
    <w:p w:rsidR="00F518F3" w:rsidRPr="007C6666" w:rsidRDefault="00F518F3" w:rsidP="00F518F3">
      <w:pPr>
        <w:pStyle w:val="ListParagraph"/>
        <w:numPr>
          <w:ilvl w:val="0"/>
          <w:numId w:val="1"/>
        </w:numPr>
        <w:spacing w:after="240" w:line="259" w:lineRule="auto"/>
        <w:contextualSpacing w:val="0"/>
        <w:rPr>
          <w:rStyle w:val="Hyperlink"/>
          <w:rFonts w:cs="Arial"/>
          <w:color w:val="000000" w:themeColor="text1"/>
        </w:rPr>
      </w:pPr>
      <w:r>
        <w:rPr>
          <w:rFonts w:cs="Arial"/>
          <w:color w:val="000000" w:themeColor="text1"/>
        </w:rPr>
        <w:t>Required provisions for bid documents and contracts for public works projects.</w:t>
      </w:r>
      <w:r w:rsidRPr="00745DE3">
        <w:rPr>
          <w:rStyle w:val="FootnoteReference"/>
          <w:rFonts w:cs="Arial"/>
          <w:color w:val="000000" w:themeColor="text1"/>
        </w:rPr>
        <w:footnoteReference w:id="5"/>
      </w:r>
      <w:r w:rsidRPr="00745DE3">
        <w:rPr>
          <w:rFonts w:cs="Arial"/>
          <w:color w:val="000000" w:themeColor="text1"/>
        </w:rPr>
        <w:t xml:space="preserve"> </w:t>
      </w:r>
      <w:r w:rsidR="002377E4">
        <w:rPr>
          <w:rFonts w:cs="Arial"/>
          <w:color w:val="000000" w:themeColor="text1"/>
        </w:rPr>
        <w:t>(</w:t>
      </w:r>
      <w:r w:rsidR="00C964FC">
        <w:rPr>
          <w:rFonts w:cs="Arial"/>
          <w:color w:val="000000" w:themeColor="text1"/>
        </w:rPr>
        <w:t xml:space="preserve">The </w:t>
      </w:r>
      <w:r w:rsidR="002377E4">
        <w:rPr>
          <w:rFonts w:cs="Arial"/>
          <w:color w:val="000000" w:themeColor="text1"/>
        </w:rPr>
        <w:t xml:space="preserve">yellow highlighted </w:t>
      </w:r>
      <w:r w:rsidR="00C964FC">
        <w:rPr>
          <w:rFonts w:cs="Arial"/>
          <w:color w:val="000000" w:themeColor="text1"/>
        </w:rPr>
        <w:t xml:space="preserve">provisions </w:t>
      </w:r>
      <w:r w:rsidR="002377E4">
        <w:rPr>
          <w:rFonts w:cs="Arial"/>
          <w:color w:val="000000" w:themeColor="text1"/>
        </w:rPr>
        <w:t>below</w:t>
      </w:r>
      <w:r w:rsidR="00C964FC">
        <w:rPr>
          <w:rFonts w:cs="Arial"/>
          <w:color w:val="000000" w:themeColor="text1"/>
        </w:rPr>
        <w:t xml:space="preserve"> relate to SB 854 requirements</w:t>
      </w:r>
      <w:r w:rsidR="002377E4">
        <w:rPr>
          <w:rFonts w:cs="Arial"/>
          <w:color w:val="000000" w:themeColor="text1"/>
        </w:rPr>
        <w:t>.)</w:t>
      </w:r>
    </w:p>
    <w:p w:rsidR="00F518F3" w:rsidRDefault="00F518F3" w:rsidP="00F518F3">
      <w:pPr>
        <w:rPr>
          <w:rStyle w:val="Hyperlink"/>
          <w:rFonts w:cs="Arial"/>
          <w:color w:val="000000" w:themeColor="text1"/>
          <w:u w:val="none"/>
        </w:rPr>
      </w:pPr>
      <w:r w:rsidRPr="009305AF">
        <w:rPr>
          <w:rStyle w:val="Hyperlink"/>
          <w:rFonts w:cs="Arial"/>
          <w:color w:val="000000" w:themeColor="text1"/>
          <w:u w:val="none"/>
        </w:rPr>
        <w:t>Additional requirements relating to prevailing wage apply to public works projects</w:t>
      </w:r>
      <w:r w:rsidRPr="009305AF">
        <w:t xml:space="preserve">, </w:t>
      </w:r>
      <w:r w:rsidRPr="009305AF">
        <w:rPr>
          <w:rStyle w:val="Hyperlink"/>
          <w:rFonts w:cs="Arial"/>
          <w:color w:val="000000" w:themeColor="text1"/>
          <w:u w:val="none"/>
        </w:rPr>
        <w:t>including their bid documents and contracts. If you would like further information, please contact the Judicial Council’s Legal Services office, or visit the DIR’s Public Works website (http://dir.ca.gov/Public-Works/PublicWorks.html).</w:t>
      </w:r>
      <w:r w:rsidRPr="009305AF">
        <w:rPr>
          <w:rStyle w:val="FootnoteReference"/>
          <w:rFonts w:cs="Arial"/>
          <w:color w:val="000000" w:themeColor="text1"/>
        </w:rPr>
        <w:footnoteReference w:id="6"/>
      </w:r>
      <w:r w:rsidRPr="009305AF">
        <w:rPr>
          <w:rStyle w:val="Hyperlink"/>
          <w:rFonts w:cs="Arial"/>
          <w:color w:val="000000" w:themeColor="text1"/>
          <w:u w:val="none"/>
        </w:rPr>
        <w:t xml:space="preserve">   </w:t>
      </w:r>
    </w:p>
    <w:p w:rsidR="00651F69" w:rsidRDefault="00651F69" w:rsidP="00F518F3">
      <w:pPr>
        <w:rPr>
          <w:rStyle w:val="Hyperlink"/>
          <w:rFonts w:cs="Arial"/>
          <w:color w:val="000000" w:themeColor="text1"/>
          <w:u w:val="none"/>
        </w:rPr>
      </w:pPr>
    </w:p>
    <w:p w:rsidR="00651F69" w:rsidRDefault="00651F69" w:rsidP="00F518F3">
      <w:pPr>
        <w:rPr>
          <w:rStyle w:val="Hyperlink"/>
          <w:rFonts w:cs="Arial"/>
          <w:color w:val="000000" w:themeColor="text1"/>
          <w:u w:val="none"/>
        </w:rPr>
      </w:pPr>
      <w:r>
        <w:rPr>
          <w:rStyle w:val="Hyperlink"/>
          <w:rFonts w:cs="Arial"/>
          <w:color w:val="000000" w:themeColor="text1"/>
          <w:u w:val="none"/>
        </w:rPr>
        <w:t>Below are sample provisions for public works contracts that require payment of prevailing wage (conforming edits may be necessary to incorporate into the JBE’s specific contract):</w:t>
      </w:r>
    </w:p>
    <w:p w:rsidR="00651F69" w:rsidRDefault="00651F69" w:rsidP="00651F69">
      <w:pPr>
        <w:spacing w:line="240" w:lineRule="auto"/>
        <w:rPr>
          <w:rStyle w:val="Hyperlink"/>
          <w:rFonts w:cs="Arial"/>
          <w:color w:val="000000" w:themeColor="text1"/>
          <w:u w:val="none"/>
        </w:rPr>
      </w:pPr>
    </w:p>
    <w:p w:rsidR="00651F69" w:rsidRPr="00C964FC" w:rsidRDefault="00651F69" w:rsidP="00C964FC">
      <w:pPr>
        <w:pStyle w:val="ListParagraph"/>
        <w:numPr>
          <w:ilvl w:val="0"/>
          <w:numId w:val="2"/>
        </w:numPr>
        <w:tabs>
          <w:tab w:val="left" w:pos="990"/>
        </w:tabs>
        <w:spacing w:after="120" w:line="240" w:lineRule="auto"/>
        <w:ind w:left="907" w:hanging="547"/>
        <w:contextualSpacing w:val="0"/>
        <w:rPr>
          <w:rFonts w:asciiTheme="minorHAnsi" w:hAnsiTheme="minorHAnsi"/>
          <w:sz w:val="22"/>
          <w:szCs w:val="22"/>
        </w:rPr>
      </w:pPr>
      <w:r w:rsidRPr="00C015C0">
        <w:rPr>
          <w:rFonts w:asciiTheme="minorHAnsi" w:hAnsiTheme="minorHAnsi"/>
          <w:sz w:val="22"/>
          <w:szCs w:val="22"/>
        </w:rPr>
        <w:t xml:space="preserve">The Contractor shall comply with all applicable provisions of the California Labor Code, Division </w:t>
      </w:r>
      <w:r w:rsidR="00390261">
        <w:rPr>
          <w:rFonts w:asciiTheme="minorHAnsi" w:hAnsiTheme="minorHAnsi"/>
          <w:sz w:val="22"/>
          <w:szCs w:val="22"/>
        </w:rPr>
        <w:t>2</w:t>
      </w:r>
      <w:r w:rsidRPr="00C015C0">
        <w:rPr>
          <w:rFonts w:asciiTheme="minorHAnsi" w:hAnsiTheme="minorHAnsi"/>
          <w:sz w:val="22"/>
          <w:szCs w:val="22"/>
        </w:rPr>
        <w:t xml:space="preserve">, Part 7, Chapter 1, Articles 1 </w:t>
      </w:r>
      <w:r w:rsidR="009E392C" w:rsidRPr="00C015C0">
        <w:rPr>
          <w:rFonts w:asciiTheme="minorHAnsi" w:hAnsiTheme="minorHAnsi"/>
          <w:sz w:val="22"/>
          <w:szCs w:val="22"/>
        </w:rPr>
        <w:t xml:space="preserve">- </w:t>
      </w:r>
      <w:r w:rsidRPr="00C015C0">
        <w:rPr>
          <w:rFonts w:asciiTheme="minorHAnsi" w:hAnsiTheme="minorHAnsi"/>
          <w:sz w:val="22"/>
          <w:szCs w:val="22"/>
        </w:rPr>
        <w:t>5, including, without limitation, the payment of the general prevailing per diem wage rates for public work projects of more than one thousand dollars ($1,000).  Copies of the prevailing rate of per diem wa</w:t>
      </w:r>
      <w:bookmarkStart w:id="0" w:name="_GoBack"/>
      <w:bookmarkEnd w:id="0"/>
      <w:r w:rsidRPr="00C015C0">
        <w:rPr>
          <w:rFonts w:asciiTheme="minorHAnsi" w:hAnsiTheme="minorHAnsi"/>
          <w:sz w:val="22"/>
          <w:szCs w:val="22"/>
        </w:rPr>
        <w:t xml:space="preserve">ges are on file with the JBE.  In addition, the Contractor and each subcontractor shall comply with Chapter 1 of Division 2, </w:t>
      </w:r>
      <w:r w:rsidRPr="00C015C0">
        <w:rPr>
          <w:rFonts w:asciiTheme="minorHAnsi" w:hAnsiTheme="minorHAnsi"/>
          <w:sz w:val="22"/>
          <w:szCs w:val="22"/>
        </w:rPr>
        <w:lastRenderedPageBreak/>
        <w:t xml:space="preserve">Part 7 of the California Labor Code, beginning with </w:t>
      </w:r>
      <w:r w:rsidR="00A07ACC">
        <w:rPr>
          <w:rFonts w:asciiTheme="minorHAnsi" w:hAnsiTheme="minorHAnsi"/>
          <w:sz w:val="22"/>
          <w:szCs w:val="22"/>
        </w:rPr>
        <w:t>s</w:t>
      </w:r>
      <w:r w:rsidRPr="00C015C0">
        <w:rPr>
          <w:rFonts w:asciiTheme="minorHAnsi" w:hAnsiTheme="minorHAnsi"/>
          <w:sz w:val="22"/>
          <w:szCs w:val="22"/>
        </w:rPr>
        <w:t xml:space="preserve">ection 1720, and including </w:t>
      </w:r>
      <w:r w:rsidR="00A07ACC">
        <w:rPr>
          <w:rFonts w:asciiTheme="minorHAnsi" w:hAnsiTheme="minorHAnsi"/>
          <w:sz w:val="22"/>
          <w:szCs w:val="22"/>
        </w:rPr>
        <w:t>s</w:t>
      </w:r>
      <w:r w:rsidRPr="00C015C0">
        <w:rPr>
          <w:rFonts w:asciiTheme="minorHAnsi" w:hAnsiTheme="minorHAnsi"/>
          <w:sz w:val="22"/>
          <w:szCs w:val="22"/>
        </w:rPr>
        <w:t xml:space="preserve">ection 1735 forbidding discrimination, </w:t>
      </w:r>
      <w:r w:rsidR="00A07ACC">
        <w:rPr>
          <w:rFonts w:asciiTheme="minorHAnsi" w:hAnsiTheme="minorHAnsi"/>
          <w:sz w:val="22"/>
          <w:szCs w:val="22"/>
        </w:rPr>
        <w:t>s</w:t>
      </w:r>
      <w:r w:rsidRPr="00C015C0">
        <w:rPr>
          <w:rFonts w:asciiTheme="minorHAnsi" w:hAnsiTheme="minorHAnsi"/>
          <w:sz w:val="22"/>
          <w:szCs w:val="22"/>
        </w:rPr>
        <w:t>ection 1776</w:t>
      </w:r>
      <w:r w:rsidR="00A07ACC">
        <w:rPr>
          <w:rFonts w:asciiTheme="minorHAnsi" w:hAnsiTheme="minorHAnsi"/>
          <w:sz w:val="22"/>
          <w:szCs w:val="22"/>
        </w:rPr>
        <w:t xml:space="preserve"> pertaining to payroll records</w:t>
      </w:r>
      <w:r w:rsidRPr="00C015C0">
        <w:rPr>
          <w:rFonts w:asciiTheme="minorHAnsi" w:hAnsiTheme="minorHAnsi"/>
          <w:sz w:val="22"/>
          <w:szCs w:val="22"/>
        </w:rPr>
        <w:t xml:space="preserve">, </w:t>
      </w:r>
      <w:r w:rsidR="00A07ACC">
        <w:rPr>
          <w:rFonts w:asciiTheme="minorHAnsi" w:hAnsiTheme="minorHAnsi"/>
          <w:sz w:val="22"/>
          <w:szCs w:val="22"/>
        </w:rPr>
        <w:t>and section</w:t>
      </w:r>
      <w:r w:rsidR="007E1D92">
        <w:rPr>
          <w:rFonts w:asciiTheme="minorHAnsi" w:hAnsiTheme="minorHAnsi"/>
          <w:sz w:val="22"/>
          <w:szCs w:val="22"/>
        </w:rPr>
        <w:t>s</w:t>
      </w:r>
      <w:r w:rsidR="00941693">
        <w:rPr>
          <w:rFonts w:asciiTheme="minorHAnsi" w:hAnsiTheme="minorHAnsi"/>
          <w:sz w:val="22"/>
          <w:szCs w:val="22"/>
        </w:rPr>
        <w:t xml:space="preserve"> </w:t>
      </w:r>
      <w:r w:rsidRPr="00C015C0">
        <w:rPr>
          <w:rFonts w:asciiTheme="minorHAnsi" w:hAnsiTheme="minorHAnsi"/>
          <w:sz w:val="22"/>
          <w:szCs w:val="22"/>
        </w:rPr>
        <w:t>1777.5 and 1777.6 concerning the employment of apprentices by Contractor or subcontractors.  Willful failure to comply may result in penalties, including loss of the right to bid on or receive public works contracts.</w:t>
      </w:r>
    </w:p>
    <w:p w:rsidR="00651F69" w:rsidRPr="00C015C0" w:rsidRDefault="00651F69" w:rsidP="00C964FC">
      <w:pPr>
        <w:pStyle w:val="ListParagraph"/>
        <w:numPr>
          <w:ilvl w:val="0"/>
          <w:numId w:val="2"/>
        </w:numPr>
        <w:tabs>
          <w:tab w:val="left" w:pos="990"/>
        </w:tabs>
        <w:spacing w:after="120" w:line="240" w:lineRule="auto"/>
        <w:ind w:left="900" w:hanging="540"/>
        <w:contextualSpacing w:val="0"/>
        <w:rPr>
          <w:rFonts w:asciiTheme="minorHAnsi" w:hAnsiTheme="minorHAnsi"/>
          <w:sz w:val="22"/>
          <w:szCs w:val="22"/>
        </w:rPr>
      </w:pPr>
      <w:proofErr w:type="gramStart"/>
      <w:r w:rsidRPr="00C015C0">
        <w:rPr>
          <w:rFonts w:asciiTheme="minorHAnsi" w:hAnsiTheme="minorHAnsi"/>
          <w:sz w:val="22"/>
          <w:szCs w:val="22"/>
        </w:rPr>
        <w:t xml:space="preserve">The </w:t>
      </w:r>
      <w:r w:rsidR="009E392C" w:rsidRPr="00C015C0">
        <w:rPr>
          <w:rFonts w:asciiTheme="minorHAnsi" w:hAnsiTheme="minorHAnsi"/>
          <w:sz w:val="22"/>
          <w:szCs w:val="22"/>
        </w:rPr>
        <w:t>Contractor</w:t>
      </w:r>
      <w:r w:rsidRPr="00C015C0">
        <w:rPr>
          <w:rFonts w:asciiTheme="minorHAnsi" w:hAnsiTheme="minorHAnsi"/>
          <w:sz w:val="22"/>
          <w:szCs w:val="22"/>
        </w:rPr>
        <w:t xml:space="preserve"> and all </w:t>
      </w:r>
      <w:r w:rsidR="009E392C" w:rsidRPr="00C015C0">
        <w:rPr>
          <w:rFonts w:asciiTheme="minorHAnsi" w:hAnsiTheme="minorHAnsi"/>
          <w:sz w:val="22"/>
          <w:szCs w:val="22"/>
        </w:rPr>
        <w:t>subcontractor</w:t>
      </w:r>
      <w:r w:rsidRPr="00C015C0">
        <w:rPr>
          <w:rFonts w:asciiTheme="minorHAnsi" w:hAnsiTheme="minorHAnsi"/>
          <w:sz w:val="22"/>
          <w:szCs w:val="22"/>
        </w:rPr>
        <w:t xml:space="preserve">s </w:t>
      </w:r>
      <w:r w:rsidR="009E392C" w:rsidRPr="00C015C0">
        <w:rPr>
          <w:rFonts w:asciiTheme="minorHAnsi" w:hAnsiTheme="minorHAnsi"/>
          <w:sz w:val="22"/>
          <w:szCs w:val="22"/>
        </w:rPr>
        <w:t>shall pay all workers on w</w:t>
      </w:r>
      <w:r w:rsidRPr="00C015C0">
        <w:rPr>
          <w:rFonts w:asciiTheme="minorHAnsi" w:hAnsiTheme="minorHAnsi"/>
          <w:sz w:val="22"/>
          <w:szCs w:val="22"/>
        </w:rPr>
        <w:t>ork performed pursuant to this Agreement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w:t>
      </w:r>
      <w:proofErr w:type="gramEnd"/>
      <w:r w:rsidRPr="00C015C0">
        <w:rPr>
          <w:rFonts w:asciiTheme="minorHAnsi" w:hAnsiTheme="minorHAnsi"/>
          <w:sz w:val="22"/>
          <w:szCs w:val="22"/>
        </w:rPr>
        <w:t xml:space="preserve">  Copies of the general prevailing rates of per diem wages for each craft, classification, or type of worker needed to execute the Agreement, as determined by Director of the State of California Department of Industrial Relations, are on file at the </w:t>
      </w:r>
      <w:r w:rsidR="009E392C" w:rsidRPr="00C015C0">
        <w:rPr>
          <w:rFonts w:asciiTheme="minorHAnsi" w:hAnsiTheme="minorHAnsi"/>
          <w:sz w:val="22"/>
          <w:szCs w:val="22"/>
        </w:rPr>
        <w:t>JBE</w:t>
      </w:r>
      <w:r w:rsidRPr="00C015C0">
        <w:rPr>
          <w:rFonts w:asciiTheme="minorHAnsi" w:hAnsiTheme="minorHAnsi"/>
          <w:sz w:val="22"/>
          <w:szCs w:val="22"/>
        </w:rPr>
        <w:t xml:space="preserve">'s principal office.  Prevailing wage rates are also available from the </w:t>
      </w:r>
      <w:r w:rsidR="009E392C" w:rsidRPr="00C015C0">
        <w:rPr>
          <w:rFonts w:asciiTheme="minorHAnsi" w:hAnsiTheme="minorHAnsi"/>
          <w:sz w:val="22"/>
          <w:szCs w:val="22"/>
        </w:rPr>
        <w:t xml:space="preserve">JBE </w:t>
      </w:r>
      <w:r w:rsidRPr="00C015C0">
        <w:rPr>
          <w:rFonts w:asciiTheme="minorHAnsi" w:hAnsiTheme="minorHAnsi"/>
          <w:sz w:val="22"/>
          <w:szCs w:val="22"/>
        </w:rPr>
        <w:t>or on the internet at (http</w:t>
      </w:r>
      <w:proofErr w:type="gramStart"/>
      <w:r w:rsidRPr="00C015C0">
        <w:rPr>
          <w:rFonts w:asciiTheme="minorHAnsi" w:hAnsiTheme="minorHAnsi"/>
          <w:sz w:val="22"/>
          <w:szCs w:val="22"/>
        </w:rPr>
        <w:t>:/</w:t>
      </w:r>
      <w:proofErr w:type="gramEnd"/>
      <w:r w:rsidRPr="00C015C0">
        <w:rPr>
          <w:rFonts w:asciiTheme="minorHAnsi" w:hAnsiTheme="minorHAnsi"/>
          <w:sz w:val="22"/>
          <w:szCs w:val="22"/>
        </w:rPr>
        <w:t xml:space="preserve">/www. dir.ca.gov). </w:t>
      </w:r>
    </w:p>
    <w:p w:rsidR="00651F69" w:rsidRPr="00653B61" w:rsidRDefault="00651F69" w:rsidP="003C3346">
      <w:pPr>
        <w:pStyle w:val="ListParagraph"/>
        <w:numPr>
          <w:ilvl w:val="0"/>
          <w:numId w:val="2"/>
        </w:numPr>
        <w:tabs>
          <w:tab w:val="left" w:pos="990"/>
        </w:tabs>
        <w:spacing w:after="120" w:line="240" w:lineRule="auto"/>
        <w:ind w:left="900" w:hanging="540"/>
        <w:contextualSpacing w:val="0"/>
        <w:rPr>
          <w:rFonts w:asciiTheme="minorHAnsi" w:hAnsiTheme="minorHAnsi"/>
          <w:sz w:val="22"/>
          <w:szCs w:val="22"/>
        </w:rPr>
      </w:pPr>
      <w:r w:rsidRPr="00653B61">
        <w:rPr>
          <w:rFonts w:asciiTheme="minorHAnsi" w:hAnsiTheme="minorHAnsi"/>
          <w:sz w:val="22"/>
          <w:szCs w:val="22"/>
        </w:rPr>
        <w:t xml:space="preserve">Contractor shall comply with the registration and </w:t>
      </w:r>
      <w:r w:rsidR="00653B61" w:rsidRPr="00653B61">
        <w:rPr>
          <w:rFonts w:asciiTheme="minorHAnsi" w:hAnsiTheme="minorHAnsi"/>
          <w:sz w:val="22"/>
          <w:szCs w:val="22"/>
        </w:rPr>
        <w:t>compliance-monitoring</w:t>
      </w:r>
      <w:r w:rsidRPr="00653B61">
        <w:rPr>
          <w:rFonts w:asciiTheme="minorHAnsi" w:hAnsiTheme="minorHAnsi"/>
          <w:sz w:val="22"/>
          <w:szCs w:val="22"/>
        </w:rPr>
        <w:t xml:space="preserve"> provisions of Labor Code section </w:t>
      </w:r>
      <w:proofErr w:type="gramStart"/>
      <w:r w:rsidRPr="00653B61">
        <w:rPr>
          <w:rFonts w:asciiTheme="minorHAnsi" w:hAnsiTheme="minorHAnsi"/>
          <w:sz w:val="22"/>
          <w:szCs w:val="22"/>
        </w:rPr>
        <w:t>1771.4,</w:t>
      </w:r>
      <w:proofErr w:type="gramEnd"/>
      <w:r w:rsidRPr="00653B61">
        <w:rPr>
          <w:rFonts w:asciiTheme="minorHAnsi" w:hAnsiTheme="minorHAnsi"/>
          <w:sz w:val="22"/>
          <w:szCs w:val="22"/>
        </w:rPr>
        <w:t xml:space="preserve"> including furnishing its </w:t>
      </w:r>
      <w:r w:rsidR="00A07ACC" w:rsidRPr="00653B61">
        <w:rPr>
          <w:rFonts w:asciiTheme="minorHAnsi" w:hAnsiTheme="minorHAnsi"/>
          <w:sz w:val="22"/>
          <w:szCs w:val="22"/>
        </w:rPr>
        <w:t xml:space="preserve">certified payroll records </w:t>
      </w:r>
      <w:r w:rsidRPr="00653B61">
        <w:rPr>
          <w:rFonts w:asciiTheme="minorHAnsi" w:hAnsiTheme="minorHAnsi"/>
          <w:sz w:val="22"/>
          <w:szCs w:val="22"/>
        </w:rPr>
        <w:t>to the Labor Commissioner of California and complying with any applicable enforcement by the Department of Industrial Relations. Labor Code section 1771.1(a) states the following:</w:t>
      </w:r>
    </w:p>
    <w:p w:rsidR="00651F69" w:rsidRPr="00653B61" w:rsidRDefault="00651F69" w:rsidP="003C3346">
      <w:pPr>
        <w:pStyle w:val="ListParagraph"/>
        <w:tabs>
          <w:tab w:val="left" w:pos="990"/>
        </w:tabs>
        <w:spacing w:after="120" w:line="240" w:lineRule="auto"/>
        <w:ind w:left="1440"/>
        <w:contextualSpacing w:val="0"/>
        <w:rPr>
          <w:rFonts w:asciiTheme="minorHAnsi" w:hAnsiTheme="minorHAnsi"/>
          <w:sz w:val="22"/>
          <w:szCs w:val="22"/>
        </w:rPr>
      </w:pPr>
      <w:r w:rsidRPr="00653B61">
        <w:rPr>
          <w:rFonts w:asciiTheme="minorHAnsi" w:hAnsiTheme="minorHAnsi"/>
          <w:sz w:val="22"/>
          <w:szCs w:val="22"/>
        </w:rPr>
        <w:t xml:space="preserve">"A contractor or subcontractor shall not be qualified to bid on, be listed in a bid proposal, subject to the requirements of </w:t>
      </w:r>
      <w:r w:rsidR="007E1D92" w:rsidRPr="00653B61">
        <w:rPr>
          <w:rFonts w:asciiTheme="minorHAnsi" w:hAnsiTheme="minorHAnsi"/>
          <w:sz w:val="22"/>
          <w:szCs w:val="22"/>
        </w:rPr>
        <w:t>s</w:t>
      </w:r>
      <w:r w:rsidRPr="00653B61">
        <w:rPr>
          <w:rFonts w:asciiTheme="minorHAnsi" w:hAnsiTheme="minorHAnsi"/>
          <w:sz w:val="22"/>
          <w:szCs w:val="22"/>
        </w:rPr>
        <w:t xml:space="preserve">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w:t>
      </w:r>
      <w:r w:rsidR="007E1D92" w:rsidRPr="00653B61">
        <w:rPr>
          <w:rFonts w:asciiTheme="minorHAnsi" w:hAnsiTheme="minorHAnsi"/>
          <w:sz w:val="22"/>
          <w:szCs w:val="22"/>
        </w:rPr>
        <w:t>s</w:t>
      </w:r>
      <w:r w:rsidRPr="00653B61">
        <w:rPr>
          <w:rFonts w:asciiTheme="minorHAnsi" w:hAnsiTheme="minorHAnsi"/>
          <w:sz w:val="22"/>
          <w:szCs w:val="22"/>
        </w:rPr>
        <w:t xml:space="preserve">ection 7029.1 of the Business and Professions Code or by </w:t>
      </w:r>
      <w:r w:rsidR="007E1D92" w:rsidRPr="00653B61">
        <w:rPr>
          <w:rFonts w:asciiTheme="minorHAnsi" w:hAnsiTheme="minorHAnsi"/>
          <w:sz w:val="22"/>
          <w:szCs w:val="22"/>
        </w:rPr>
        <w:t>s</w:t>
      </w:r>
      <w:r w:rsidRPr="00653B61">
        <w:rPr>
          <w:rFonts w:asciiTheme="minorHAnsi" w:hAnsiTheme="minorHAnsi"/>
          <w:sz w:val="22"/>
          <w:szCs w:val="22"/>
        </w:rPr>
        <w:t xml:space="preserve">ection 10164 or 20103.5 of the Public Contract Code, provided the contractor is registered to perform public work pursuant to Section 1725.5 at the time the contract is awarded." </w:t>
      </w:r>
      <w:r w:rsidR="002377E4" w:rsidRPr="00653B61">
        <w:rPr>
          <w:rFonts w:asciiTheme="minorHAnsi" w:hAnsiTheme="minorHAnsi"/>
          <w:b/>
          <w:i/>
          <w:sz w:val="22"/>
          <w:szCs w:val="22"/>
        </w:rPr>
        <w:t>[NOTE: the foregoing paragraph must also be included in all bid invitations for public works contracts]</w:t>
      </w:r>
    </w:p>
    <w:p w:rsidR="00651F69" w:rsidRPr="00653B61" w:rsidRDefault="009E392C" w:rsidP="003C3346">
      <w:pPr>
        <w:pStyle w:val="ListParagraph"/>
        <w:numPr>
          <w:ilvl w:val="0"/>
          <w:numId w:val="2"/>
        </w:numPr>
        <w:tabs>
          <w:tab w:val="left" w:pos="990"/>
        </w:tabs>
        <w:spacing w:after="120" w:line="240" w:lineRule="auto"/>
        <w:ind w:left="900" w:hanging="540"/>
        <w:contextualSpacing w:val="0"/>
        <w:rPr>
          <w:rFonts w:asciiTheme="minorHAnsi" w:hAnsiTheme="minorHAnsi"/>
          <w:sz w:val="22"/>
          <w:szCs w:val="22"/>
        </w:rPr>
      </w:pPr>
      <w:r w:rsidRPr="00653B61">
        <w:rPr>
          <w:rFonts w:asciiTheme="minorHAnsi" w:hAnsiTheme="minorHAnsi"/>
          <w:sz w:val="22"/>
          <w:szCs w:val="22"/>
        </w:rPr>
        <w:t>Contractor</w:t>
      </w:r>
      <w:r w:rsidR="00651F69" w:rsidRPr="00653B61">
        <w:rPr>
          <w:rFonts w:asciiTheme="minorHAnsi" w:hAnsiTheme="minorHAnsi"/>
          <w:sz w:val="22"/>
          <w:szCs w:val="22"/>
        </w:rPr>
        <w:t xml:space="preserve"> shall, and shall ensure that all "subcontractors" (as defined by Labor Code section 1722.1), comply with Labor Code section 1725.5, including without limitation the registration requirements with the Department of Industrial Relations that are set forth in Labor Code section 1725.5.  </w:t>
      </w:r>
      <w:r w:rsidRPr="00653B61">
        <w:rPr>
          <w:rFonts w:asciiTheme="minorHAnsi" w:hAnsiTheme="minorHAnsi"/>
          <w:sz w:val="22"/>
          <w:szCs w:val="22"/>
        </w:rPr>
        <w:t>Contractor</w:t>
      </w:r>
      <w:r w:rsidR="00651F69" w:rsidRPr="00653B61">
        <w:rPr>
          <w:rFonts w:asciiTheme="minorHAnsi" w:hAnsiTheme="minorHAnsi"/>
          <w:sz w:val="22"/>
          <w:szCs w:val="22"/>
        </w:rPr>
        <w:t xml:space="preserve"> represents to the Judicial Council that all "subcontractors" (as defined by Labor Code section 1722.1) </w:t>
      </w:r>
      <w:proofErr w:type="gramStart"/>
      <w:r w:rsidR="00651F69" w:rsidRPr="00653B61">
        <w:rPr>
          <w:rFonts w:asciiTheme="minorHAnsi" w:hAnsiTheme="minorHAnsi"/>
          <w:sz w:val="22"/>
          <w:szCs w:val="22"/>
        </w:rPr>
        <w:t>are registered</w:t>
      </w:r>
      <w:proofErr w:type="gramEnd"/>
      <w:r w:rsidR="00651F69" w:rsidRPr="00653B61">
        <w:rPr>
          <w:rFonts w:asciiTheme="minorHAnsi" w:hAnsiTheme="minorHAnsi"/>
          <w:sz w:val="22"/>
          <w:szCs w:val="22"/>
        </w:rPr>
        <w:t xml:space="preserve"> pursuant to Labor Code section 1725.5.  </w:t>
      </w:r>
      <w:r w:rsidRPr="00653B61">
        <w:rPr>
          <w:rFonts w:asciiTheme="minorHAnsi" w:hAnsiTheme="minorHAnsi"/>
          <w:sz w:val="22"/>
          <w:szCs w:val="22"/>
        </w:rPr>
        <w:t>Contractor</w:t>
      </w:r>
      <w:r w:rsidR="00651F69" w:rsidRPr="00653B61">
        <w:rPr>
          <w:rFonts w:asciiTheme="minorHAnsi" w:hAnsiTheme="minorHAnsi"/>
          <w:sz w:val="22"/>
          <w:szCs w:val="22"/>
        </w:rPr>
        <w:t xml:space="preserve"> acknowledges that, for purposes of Labor Code section 1725.5, this work is a public work to which Labor Code section 1771 applies.  </w:t>
      </w:r>
    </w:p>
    <w:p w:rsidR="00651F69" w:rsidRPr="00653B61" w:rsidRDefault="002377E4" w:rsidP="003C3346">
      <w:pPr>
        <w:pStyle w:val="ListParagraph"/>
        <w:numPr>
          <w:ilvl w:val="0"/>
          <w:numId w:val="2"/>
        </w:numPr>
        <w:tabs>
          <w:tab w:val="left" w:pos="990"/>
        </w:tabs>
        <w:spacing w:after="120" w:line="240" w:lineRule="auto"/>
        <w:ind w:left="900" w:hanging="540"/>
        <w:contextualSpacing w:val="0"/>
        <w:rPr>
          <w:rFonts w:asciiTheme="minorHAnsi" w:hAnsiTheme="minorHAnsi"/>
          <w:sz w:val="22"/>
          <w:szCs w:val="22"/>
        </w:rPr>
      </w:pPr>
      <w:r w:rsidRPr="00653B61">
        <w:rPr>
          <w:rFonts w:asciiTheme="minorHAnsi" w:hAnsiTheme="minorHAnsi"/>
          <w:sz w:val="22"/>
          <w:szCs w:val="22"/>
        </w:rPr>
        <w:t>This</w:t>
      </w:r>
      <w:r w:rsidR="00651F69" w:rsidRPr="00653B61">
        <w:rPr>
          <w:rFonts w:asciiTheme="minorHAnsi" w:hAnsiTheme="minorHAnsi"/>
          <w:sz w:val="22"/>
          <w:szCs w:val="22"/>
        </w:rPr>
        <w:t xml:space="preserve"> </w:t>
      </w:r>
      <w:r w:rsidR="00422059" w:rsidRPr="00653B61">
        <w:rPr>
          <w:rFonts w:asciiTheme="minorHAnsi" w:hAnsiTheme="minorHAnsi"/>
          <w:sz w:val="22"/>
          <w:szCs w:val="22"/>
        </w:rPr>
        <w:t xml:space="preserve">project is </w:t>
      </w:r>
      <w:r w:rsidR="00651F69" w:rsidRPr="00653B61">
        <w:rPr>
          <w:rFonts w:asciiTheme="minorHAnsi" w:hAnsiTheme="minorHAnsi"/>
          <w:sz w:val="22"/>
          <w:szCs w:val="22"/>
        </w:rPr>
        <w:t xml:space="preserve">subject to compliance monitoring and enforcement by the Department of Industrial Relations.  </w:t>
      </w:r>
      <w:r w:rsidR="009E392C" w:rsidRPr="00653B61">
        <w:rPr>
          <w:rFonts w:asciiTheme="minorHAnsi" w:hAnsiTheme="minorHAnsi"/>
          <w:sz w:val="22"/>
          <w:szCs w:val="22"/>
        </w:rPr>
        <w:t>Contractor</w:t>
      </w:r>
      <w:r w:rsidR="00651F69" w:rsidRPr="00653B61">
        <w:rPr>
          <w:rFonts w:asciiTheme="minorHAnsi" w:hAnsiTheme="minorHAnsi"/>
          <w:sz w:val="22"/>
          <w:szCs w:val="22"/>
        </w:rPr>
        <w:t xml:space="preserve"> shall post job site notices, as prescribed by regulation.  </w:t>
      </w:r>
      <w:r w:rsidR="009E392C" w:rsidRPr="00653B61">
        <w:rPr>
          <w:rFonts w:asciiTheme="minorHAnsi" w:hAnsiTheme="minorHAnsi"/>
          <w:sz w:val="22"/>
          <w:szCs w:val="22"/>
        </w:rPr>
        <w:t>Contractor</w:t>
      </w:r>
      <w:r w:rsidR="00651F69" w:rsidRPr="00653B61">
        <w:rPr>
          <w:rFonts w:asciiTheme="minorHAnsi" w:hAnsiTheme="minorHAnsi"/>
          <w:sz w:val="22"/>
          <w:szCs w:val="22"/>
        </w:rPr>
        <w:t xml:space="preserve"> shall comply with all requirements of Labor Code section 1771.4, except the requirements that </w:t>
      </w:r>
      <w:proofErr w:type="gramStart"/>
      <w:r w:rsidR="00651F69" w:rsidRPr="00653B61">
        <w:rPr>
          <w:rFonts w:asciiTheme="minorHAnsi" w:hAnsiTheme="minorHAnsi"/>
          <w:sz w:val="22"/>
          <w:szCs w:val="22"/>
        </w:rPr>
        <w:t>are exempted</w:t>
      </w:r>
      <w:proofErr w:type="gramEnd"/>
      <w:r w:rsidR="00651F69" w:rsidRPr="00653B61">
        <w:rPr>
          <w:rFonts w:asciiTheme="minorHAnsi" w:hAnsiTheme="minorHAnsi"/>
          <w:sz w:val="22"/>
          <w:szCs w:val="22"/>
        </w:rPr>
        <w:t xml:space="preserve"> by the Labor Commissioner for the </w:t>
      </w:r>
      <w:r w:rsidR="00422059" w:rsidRPr="00653B61">
        <w:rPr>
          <w:rFonts w:asciiTheme="minorHAnsi" w:hAnsiTheme="minorHAnsi"/>
          <w:sz w:val="22"/>
          <w:szCs w:val="22"/>
        </w:rPr>
        <w:t>project</w:t>
      </w:r>
      <w:r w:rsidR="00651F69" w:rsidRPr="00653B61">
        <w:rPr>
          <w:rFonts w:asciiTheme="minorHAnsi" w:hAnsiTheme="minorHAnsi"/>
          <w:sz w:val="22"/>
          <w:szCs w:val="22"/>
        </w:rPr>
        <w:t xml:space="preserve">.  </w:t>
      </w:r>
    </w:p>
    <w:p w:rsidR="00323555" w:rsidRPr="00C015C0" w:rsidRDefault="00651F69" w:rsidP="003C3346">
      <w:pPr>
        <w:pStyle w:val="ListParagraph"/>
        <w:numPr>
          <w:ilvl w:val="0"/>
          <w:numId w:val="2"/>
        </w:numPr>
        <w:tabs>
          <w:tab w:val="left" w:pos="990"/>
        </w:tabs>
        <w:spacing w:after="120" w:line="240" w:lineRule="auto"/>
        <w:ind w:left="900" w:hanging="540"/>
        <w:contextualSpacing w:val="0"/>
        <w:rPr>
          <w:rFonts w:asciiTheme="minorHAnsi" w:hAnsiTheme="minorHAnsi"/>
          <w:sz w:val="22"/>
          <w:szCs w:val="22"/>
        </w:rPr>
      </w:pPr>
      <w:r w:rsidRPr="00C015C0">
        <w:rPr>
          <w:rFonts w:asciiTheme="minorHAnsi" w:hAnsiTheme="minorHAnsi"/>
          <w:sz w:val="22"/>
          <w:szCs w:val="22"/>
        </w:rPr>
        <w:t xml:space="preserve">Unless otherwise provided in </w:t>
      </w:r>
      <w:r w:rsidR="00422059" w:rsidRPr="00C015C0">
        <w:rPr>
          <w:rFonts w:asciiTheme="minorHAnsi" w:hAnsiTheme="minorHAnsi"/>
          <w:sz w:val="22"/>
          <w:szCs w:val="22"/>
        </w:rPr>
        <w:t>this Agreement</w:t>
      </w:r>
      <w:r w:rsidRPr="00C015C0">
        <w:rPr>
          <w:rFonts w:asciiTheme="minorHAnsi" w:hAnsiTheme="minorHAnsi"/>
          <w:sz w:val="22"/>
          <w:szCs w:val="22"/>
        </w:rPr>
        <w:t xml:space="preserve">, the </w:t>
      </w:r>
      <w:r w:rsidR="009E392C" w:rsidRPr="00C015C0">
        <w:rPr>
          <w:rFonts w:asciiTheme="minorHAnsi" w:hAnsiTheme="minorHAnsi"/>
          <w:sz w:val="22"/>
          <w:szCs w:val="22"/>
        </w:rPr>
        <w:t>Contractor</w:t>
      </w:r>
      <w:r w:rsidRPr="00C015C0">
        <w:rPr>
          <w:rFonts w:asciiTheme="minorHAnsi" w:hAnsiTheme="minorHAnsi"/>
          <w:sz w:val="22"/>
          <w:szCs w:val="22"/>
        </w:rPr>
        <w:t xml:space="preserve"> shall provide and pay for all labor, materials, equipment, tools, construction equipment and machinery, water, heat, utilities, transportation, and other facilities and services necessary for proper execution and completion of the </w:t>
      </w:r>
      <w:r w:rsidR="00422059" w:rsidRPr="00C015C0">
        <w:rPr>
          <w:rFonts w:asciiTheme="minorHAnsi" w:hAnsiTheme="minorHAnsi"/>
          <w:sz w:val="22"/>
          <w:szCs w:val="22"/>
        </w:rPr>
        <w:t>work</w:t>
      </w:r>
      <w:r w:rsidRPr="00C015C0">
        <w:rPr>
          <w:rFonts w:asciiTheme="minorHAnsi" w:hAnsiTheme="minorHAnsi"/>
          <w:sz w:val="22"/>
          <w:szCs w:val="22"/>
        </w:rPr>
        <w:t xml:space="preserve">, whether temporary or permanent and whether or not incorporated or to be incorporated in the </w:t>
      </w:r>
      <w:r w:rsidR="00422059" w:rsidRPr="00C015C0">
        <w:rPr>
          <w:rFonts w:asciiTheme="minorHAnsi" w:hAnsiTheme="minorHAnsi"/>
          <w:sz w:val="22"/>
          <w:szCs w:val="22"/>
        </w:rPr>
        <w:t>work</w:t>
      </w:r>
      <w:r w:rsidRPr="00C015C0">
        <w:rPr>
          <w:rFonts w:asciiTheme="minorHAnsi" w:hAnsiTheme="minorHAnsi"/>
          <w:sz w:val="22"/>
          <w:szCs w:val="22"/>
        </w:rPr>
        <w:t xml:space="preserve">.  Materials, articles and equipment furnished by the </w:t>
      </w:r>
      <w:r w:rsidR="009E392C" w:rsidRPr="00C015C0">
        <w:rPr>
          <w:rFonts w:asciiTheme="minorHAnsi" w:hAnsiTheme="minorHAnsi"/>
          <w:sz w:val="22"/>
          <w:szCs w:val="22"/>
        </w:rPr>
        <w:lastRenderedPageBreak/>
        <w:t>Contractor</w:t>
      </w:r>
      <w:r w:rsidRPr="00C015C0">
        <w:rPr>
          <w:rFonts w:asciiTheme="minorHAnsi" w:hAnsiTheme="minorHAnsi"/>
          <w:sz w:val="22"/>
          <w:szCs w:val="22"/>
        </w:rPr>
        <w:t xml:space="preserve"> for incorporation into the </w:t>
      </w:r>
      <w:r w:rsidR="00422059" w:rsidRPr="00C015C0">
        <w:rPr>
          <w:rFonts w:asciiTheme="minorHAnsi" w:hAnsiTheme="minorHAnsi"/>
          <w:sz w:val="22"/>
          <w:szCs w:val="22"/>
        </w:rPr>
        <w:t xml:space="preserve">work </w:t>
      </w:r>
      <w:r w:rsidRPr="00C015C0">
        <w:rPr>
          <w:rFonts w:asciiTheme="minorHAnsi" w:hAnsiTheme="minorHAnsi"/>
          <w:sz w:val="22"/>
          <w:szCs w:val="22"/>
        </w:rPr>
        <w:t xml:space="preserve">shall be new unless otherwise specified in the </w:t>
      </w:r>
      <w:r w:rsidR="00422059" w:rsidRPr="00C015C0">
        <w:rPr>
          <w:rFonts w:asciiTheme="minorHAnsi" w:hAnsiTheme="minorHAnsi"/>
          <w:sz w:val="22"/>
          <w:szCs w:val="22"/>
        </w:rPr>
        <w:t>Agreement</w:t>
      </w:r>
      <w:r w:rsidRPr="00C015C0">
        <w:rPr>
          <w:rFonts w:asciiTheme="minorHAnsi" w:hAnsiTheme="minorHAnsi"/>
          <w:sz w:val="22"/>
          <w:szCs w:val="22"/>
        </w:rPr>
        <w:t>.</w:t>
      </w:r>
    </w:p>
    <w:p w:rsidR="00323555" w:rsidRPr="00C015C0" w:rsidRDefault="00651F69" w:rsidP="003C3346">
      <w:pPr>
        <w:pStyle w:val="ListParagraph"/>
        <w:numPr>
          <w:ilvl w:val="0"/>
          <w:numId w:val="2"/>
        </w:numPr>
        <w:tabs>
          <w:tab w:val="left" w:pos="990"/>
        </w:tabs>
        <w:spacing w:after="120" w:line="240" w:lineRule="auto"/>
        <w:ind w:left="900" w:hanging="540"/>
        <w:contextualSpacing w:val="0"/>
        <w:rPr>
          <w:rFonts w:asciiTheme="minorHAnsi" w:hAnsiTheme="minorHAnsi"/>
          <w:sz w:val="22"/>
          <w:szCs w:val="22"/>
        </w:rPr>
      </w:pPr>
      <w:proofErr w:type="gramStart"/>
      <w:r w:rsidRPr="00C015C0">
        <w:rPr>
          <w:rFonts w:asciiTheme="minorHAnsi" w:hAnsiTheme="minorHAnsi"/>
          <w:sz w:val="22"/>
          <w:szCs w:val="22"/>
        </w:rPr>
        <w:t>Workers are limited and restricted to 8 hours during any one calendar day, and 40 hours during any one calendar week except that pursuant to Labor Code Section 1815, any work performed in excess of 8 hours per day and 40 hours during any one week, shall be permitted upon compensation for all hours worked in excess of 8 hours per day at not less than 1-1/2 times the basic rate of pay.</w:t>
      </w:r>
      <w:proofErr w:type="gramEnd"/>
      <w:r w:rsidRPr="00C015C0">
        <w:rPr>
          <w:rFonts w:asciiTheme="minorHAnsi" w:hAnsiTheme="minorHAnsi"/>
          <w:sz w:val="22"/>
          <w:szCs w:val="22"/>
        </w:rPr>
        <w:t xml:space="preserve">  </w:t>
      </w:r>
      <w:r w:rsidR="007E1D92">
        <w:rPr>
          <w:rFonts w:asciiTheme="minorHAnsi" w:hAnsiTheme="minorHAnsi"/>
          <w:sz w:val="22"/>
          <w:szCs w:val="22"/>
        </w:rPr>
        <w:t>Pursuant to Labor Code section 1813, t</w:t>
      </w:r>
      <w:r w:rsidRPr="00C015C0">
        <w:rPr>
          <w:rFonts w:asciiTheme="minorHAnsi" w:hAnsiTheme="minorHAnsi"/>
          <w:sz w:val="22"/>
          <w:szCs w:val="22"/>
        </w:rPr>
        <w:t xml:space="preserve">he </w:t>
      </w:r>
      <w:r w:rsidR="009E392C" w:rsidRPr="00C015C0">
        <w:rPr>
          <w:rFonts w:asciiTheme="minorHAnsi" w:hAnsiTheme="minorHAnsi"/>
          <w:sz w:val="22"/>
          <w:szCs w:val="22"/>
        </w:rPr>
        <w:t>Contractor</w:t>
      </w:r>
      <w:r w:rsidRPr="00C015C0">
        <w:rPr>
          <w:rFonts w:asciiTheme="minorHAnsi" w:hAnsiTheme="minorHAnsi"/>
          <w:sz w:val="22"/>
          <w:szCs w:val="22"/>
        </w:rPr>
        <w:t xml:space="preserve"> shall pay the </w:t>
      </w:r>
      <w:r w:rsidR="00422059" w:rsidRPr="00C015C0">
        <w:rPr>
          <w:rFonts w:asciiTheme="minorHAnsi" w:hAnsiTheme="minorHAnsi"/>
          <w:sz w:val="22"/>
          <w:szCs w:val="22"/>
        </w:rPr>
        <w:t xml:space="preserve">JBE </w:t>
      </w:r>
      <w:proofErr w:type="gramStart"/>
      <w:r w:rsidR="004B5B73">
        <w:rPr>
          <w:rFonts w:asciiTheme="minorHAnsi" w:hAnsiTheme="minorHAnsi"/>
          <w:sz w:val="22"/>
          <w:szCs w:val="22"/>
        </w:rPr>
        <w:t>twenty five</w:t>
      </w:r>
      <w:proofErr w:type="gramEnd"/>
      <w:r w:rsidR="004B5B73">
        <w:rPr>
          <w:rFonts w:asciiTheme="minorHAnsi" w:hAnsiTheme="minorHAnsi"/>
          <w:sz w:val="22"/>
          <w:szCs w:val="22"/>
        </w:rPr>
        <w:t xml:space="preserve"> dollars</w:t>
      </w:r>
      <w:r w:rsidRPr="00C015C0">
        <w:rPr>
          <w:rFonts w:asciiTheme="minorHAnsi" w:hAnsiTheme="minorHAnsi"/>
          <w:sz w:val="22"/>
          <w:szCs w:val="22"/>
        </w:rPr>
        <w:t xml:space="preserve"> ($</w:t>
      </w:r>
      <w:r w:rsidR="007E1D92">
        <w:rPr>
          <w:rFonts w:asciiTheme="minorHAnsi" w:hAnsiTheme="minorHAnsi"/>
          <w:sz w:val="22"/>
          <w:szCs w:val="22"/>
        </w:rPr>
        <w:t>25</w:t>
      </w:r>
      <w:r w:rsidRPr="00C015C0">
        <w:rPr>
          <w:rFonts w:asciiTheme="minorHAnsi" w:hAnsiTheme="minorHAnsi"/>
          <w:sz w:val="22"/>
          <w:szCs w:val="22"/>
        </w:rPr>
        <w:t>) as a penalty for each worker for each calendar day worked in violation of the above limitations and restrictions.</w:t>
      </w:r>
    </w:p>
    <w:p w:rsidR="00651F69" w:rsidRPr="00C015C0" w:rsidRDefault="00651F69" w:rsidP="003C3346">
      <w:pPr>
        <w:pStyle w:val="ListParagraph"/>
        <w:numPr>
          <w:ilvl w:val="0"/>
          <w:numId w:val="2"/>
        </w:numPr>
        <w:tabs>
          <w:tab w:val="left" w:pos="990"/>
        </w:tabs>
        <w:spacing w:after="120" w:line="240" w:lineRule="auto"/>
        <w:ind w:left="900" w:hanging="540"/>
        <w:contextualSpacing w:val="0"/>
        <w:rPr>
          <w:rFonts w:asciiTheme="minorHAnsi" w:hAnsiTheme="minorHAnsi"/>
          <w:sz w:val="22"/>
          <w:szCs w:val="22"/>
        </w:rPr>
      </w:pPr>
      <w:r w:rsidRPr="00C015C0">
        <w:rPr>
          <w:rFonts w:asciiTheme="minorHAnsi" w:hAnsiTheme="minorHAnsi"/>
          <w:sz w:val="22"/>
          <w:szCs w:val="22"/>
        </w:rPr>
        <w:t xml:space="preserve">The </w:t>
      </w:r>
      <w:r w:rsidR="009E392C" w:rsidRPr="00C015C0">
        <w:rPr>
          <w:rFonts w:asciiTheme="minorHAnsi" w:hAnsiTheme="minorHAnsi"/>
          <w:sz w:val="22"/>
          <w:szCs w:val="22"/>
        </w:rPr>
        <w:t>Contractor</w:t>
      </w:r>
      <w:r w:rsidRPr="00C015C0">
        <w:rPr>
          <w:rFonts w:asciiTheme="minorHAnsi" w:hAnsiTheme="minorHAnsi"/>
          <w:sz w:val="22"/>
          <w:szCs w:val="22"/>
        </w:rPr>
        <w:t xml:space="preserve"> shall comply with the provisions of the Labor Code including sections 1770 to 1780, inclusive and specifically Section 1775.  </w:t>
      </w:r>
      <w:proofErr w:type="gramStart"/>
      <w:r w:rsidRPr="00C015C0">
        <w:rPr>
          <w:rFonts w:asciiTheme="minorHAnsi" w:hAnsiTheme="minorHAnsi"/>
          <w:sz w:val="22"/>
          <w:szCs w:val="22"/>
        </w:rPr>
        <w:t xml:space="preserve">In accordance with Section 1775, the </w:t>
      </w:r>
      <w:r w:rsidR="009E392C" w:rsidRPr="00C015C0">
        <w:rPr>
          <w:rFonts w:asciiTheme="minorHAnsi" w:hAnsiTheme="minorHAnsi"/>
          <w:sz w:val="22"/>
          <w:szCs w:val="22"/>
        </w:rPr>
        <w:t>Contractor</w:t>
      </w:r>
      <w:r w:rsidRPr="00C015C0">
        <w:rPr>
          <w:rFonts w:asciiTheme="minorHAnsi" w:hAnsiTheme="minorHAnsi"/>
          <w:sz w:val="22"/>
          <w:szCs w:val="22"/>
        </w:rPr>
        <w:t xml:space="preserve"> shall forfeit to the </w:t>
      </w:r>
      <w:r w:rsidR="00422059" w:rsidRPr="00C015C0">
        <w:rPr>
          <w:rFonts w:asciiTheme="minorHAnsi" w:hAnsiTheme="minorHAnsi"/>
          <w:sz w:val="22"/>
          <w:szCs w:val="22"/>
        </w:rPr>
        <w:t xml:space="preserve">JBE </w:t>
      </w:r>
      <w:r w:rsidRPr="00C015C0">
        <w:rPr>
          <w:rFonts w:asciiTheme="minorHAnsi" w:hAnsiTheme="minorHAnsi"/>
          <w:sz w:val="22"/>
          <w:szCs w:val="22"/>
        </w:rPr>
        <w:t xml:space="preserve">the statutory amount, (currently not to exceed two hundred dollars ($200) for each calendar day, or portion thereof), for each worker paid less than the prevailing rates, as determined by the </w:t>
      </w:r>
      <w:r w:rsidR="00422059" w:rsidRPr="00C015C0">
        <w:rPr>
          <w:rFonts w:asciiTheme="minorHAnsi" w:hAnsiTheme="minorHAnsi"/>
          <w:sz w:val="22"/>
          <w:szCs w:val="22"/>
        </w:rPr>
        <w:t>JBE</w:t>
      </w:r>
      <w:r w:rsidRPr="00C015C0">
        <w:rPr>
          <w:rFonts w:asciiTheme="minorHAnsi" w:hAnsiTheme="minorHAnsi"/>
          <w:sz w:val="22"/>
          <w:szCs w:val="22"/>
        </w:rPr>
        <w:t>, for the work or craft in which that worker is em</w:t>
      </w:r>
      <w:r w:rsidR="00422059" w:rsidRPr="00C015C0">
        <w:rPr>
          <w:rFonts w:asciiTheme="minorHAnsi" w:hAnsiTheme="minorHAnsi"/>
          <w:sz w:val="22"/>
          <w:szCs w:val="22"/>
        </w:rPr>
        <w:t>ployed for any work done under c</w:t>
      </w:r>
      <w:r w:rsidRPr="00C015C0">
        <w:rPr>
          <w:rFonts w:asciiTheme="minorHAnsi" w:hAnsiTheme="minorHAnsi"/>
          <w:sz w:val="22"/>
          <w:szCs w:val="22"/>
        </w:rPr>
        <w:t xml:space="preserve">ontract by </w:t>
      </w:r>
      <w:r w:rsidR="009E392C" w:rsidRPr="00C015C0">
        <w:rPr>
          <w:rFonts w:asciiTheme="minorHAnsi" w:hAnsiTheme="minorHAnsi"/>
          <w:sz w:val="22"/>
          <w:szCs w:val="22"/>
        </w:rPr>
        <w:t>Contractor</w:t>
      </w:r>
      <w:r w:rsidRPr="00C015C0">
        <w:rPr>
          <w:rFonts w:asciiTheme="minorHAnsi" w:hAnsiTheme="minorHAnsi"/>
          <w:sz w:val="22"/>
          <w:szCs w:val="22"/>
        </w:rPr>
        <w:t xml:space="preserve"> or by any </w:t>
      </w:r>
      <w:r w:rsidR="009E392C" w:rsidRPr="00C015C0">
        <w:rPr>
          <w:rFonts w:asciiTheme="minorHAnsi" w:hAnsiTheme="minorHAnsi"/>
          <w:sz w:val="22"/>
          <w:szCs w:val="22"/>
        </w:rPr>
        <w:t>subcontractor</w:t>
      </w:r>
      <w:r w:rsidRPr="00C015C0">
        <w:rPr>
          <w:rFonts w:asciiTheme="minorHAnsi" w:hAnsiTheme="minorHAnsi"/>
          <w:sz w:val="22"/>
          <w:szCs w:val="22"/>
        </w:rPr>
        <w:t>.</w:t>
      </w:r>
      <w:proofErr w:type="gramEnd"/>
      <w:r w:rsidRPr="00C015C0">
        <w:rPr>
          <w:rFonts w:asciiTheme="minorHAnsi" w:hAnsiTheme="minorHAnsi"/>
          <w:sz w:val="22"/>
          <w:szCs w:val="22"/>
        </w:rPr>
        <w:t xml:space="preserve">  </w:t>
      </w:r>
    </w:p>
    <w:p w:rsidR="00323555" w:rsidRPr="00C015C0" w:rsidRDefault="00651F69" w:rsidP="003C3346">
      <w:pPr>
        <w:pStyle w:val="ListParagraph"/>
        <w:numPr>
          <w:ilvl w:val="0"/>
          <w:numId w:val="3"/>
        </w:numPr>
        <w:tabs>
          <w:tab w:val="left" w:pos="990"/>
        </w:tabs>
        <w:spacing w:after="120" w:line="240" w:lineRule="auto"/>
        <w:ind w:left="1440" w:hanging="540"/>
        <w:contextualSpacing w:val="0"/>
        <w:rPr>
          <w:rFonts w:asciiTheme="minorHAnsi" w:hAnsiTheme="minorHAnsi"/>
          <w:sz w:val="22"/>
          <w:szCs w:val="22"/>
        </w:rPr>
      </w:pPr>
      <w:r w:rsidRPr="00C015C0">
        <w:rPr>
          <w:rFonts w:asciiTheme="minorHAnsi" w:hAnsiTheme="minorHAnsi"/>
          <w:sz w:val="22"/>
          <w:szCs w:val="22"/>
        </w:rPr>
        <w:t xml:space="preserve">The amount of the penalty shall not be less than forty dollars ($40) for each calendar day, or portion thereof, unless the failure of </w:t>
      </w:r>
      <w:r w:rsidR="009E392C" w:rsidRPr="00C015C0">
        <w:rPr>
          <w:rFonts w:asciiTheme="minorHAnsi" w:hAnsiTheme="minorHAnsi"/>
          <w:sz w:val="22"/>
          <w:szCs w:val="22"/>
        </w:rPr>
        <w:t>Contractor</w:t>
      </w:r>
      <w:r w:rsidRPr="00C015C0">
        <w:rPr>
          <w:rFonts w:asciiTheme="minorHAnsi" w:hAnsiTheme="minorHAnsi"/>
          <w:sz w:val="22"/>
          <w:szCs w:val="22"/>
        </w:rPr>
        <w:t xml:space="preserve"> or </w:t>
      </w:r>
      <w:r w:rsidR="009E392C" w:rsidRPr="00C015C0">
        <w:rPr>
          <w:rFonts w:asciiTheme="minorHAnsi" w:hAnsiTheme="minorHAnsi"/>
          <w:sz w:val="22"/>
          <w:szCs w:val="22"/>
        </w:rPr>
        <w:t>subcontractor</w:t>
      </w:r>
      <w:r w:rsidRPr="00C015C0">
        <w:rPr>
          <w:rFonts w:asciiTheme="minorHAnsi" w:hAnsiTheme="minorHAnsi"/>
          <w:sz w:val="22"/>
          <w:szCs w:val="22"/>
        </w:rPr>
        <w:t xml:space="preserve"> was a good faith mistake and, if so, the error </w:t>
      </w:r>
      <w:proofErr w:type="gramStart"/>
      <w:r w:rsidRPr="00C015C0">
        <w:rPr>
          <w:rFonts w:asciiTheme="minorHAnsi" w:hAnsiTheme="minorHAnsi"/>
          <w:sz w:val="22"/>
          <w:szCs w:val="22"/>
        </w:rPr>
        <w:t>was promptly and voluntarily corrected</w:t>
      </w:r>
      <w:proofErr w:type="gramEnd"/>
      <w:r w:rsidRPr="00C015C0">
        <w:rPr>
          <w:rFonts w:asciiTheme="minorHAnsi" w:hAnsiTheme="minorHAnsi"/>
          <w:sz w:val="22"/>
          <w:szCs w:val="22"/>
        </w:rPr>
        <w:t xml:space="preserve"> when brought to the attention of </w:t>
      </w:r>
      <w:r w:rsidR="009E392C" w:rsidRPr="00C015C0">
        <w:rPr>
          <w:rFonts w:asciiTheme="minorHAnsi" w:hAnsiTheme="minorHAnsi"/>
          <w:sz w:val="22"/>
          <w:szCs w:val="22"/>
        </w:rPr>
        <w:t>Contractor</w:t>
      </w:r>
      <w:r w:rsidRPr="00C015C0">
        <w:rPr>
          <w:rFonts w:asciiTheme="minorHAnsi" w:hAnsiTheme="minorHAnsi"/>
          <w:sz w:val="22"/>
          <w:szCs w:val="22"/>
        </w:rPr>
        <w:t xml:space="preserve">.  </w:t>
      </w:r>
    </w:p>
    <w:p w:rsidR="00323555" w:rsidRPr="00C015C0" w:rsidRDefault="00651F69" w:rsidP="003C3346">
      <w:pPr>
        <w:pStyle w:val="ListParagraph"/>
        <w:numPr>
          <w:ilvl w:val="0"/>
          <w:numId w:val="3"/>
        </w:numPr>
        <w:tabs>
          <w:tab w:val="left" w:pos="990"/>
        </w:tabs>
        <w:spacing w:after="120" w:line="240" w:lineRule="auto"/>
        <w:ind w:left="1440" w:hanging="540"/>
        <w:contextualSpacing w:val="0"/>
        <w:rPr>
          <w:rFonts w:asciiTheme="minorHAnsi" w:hAnsiTheme="minorHAnsi"/>
          <w:sz w:val="22"/>
          <w:szCs w:val="22"/>
        </w:rPr>
      </w:pPr>
      <w:r w:rsidRPr="00C015C0">
        <w:rPr>
          <w:rFonts w:asciiTheme="minorHAnsi" w:hAnsiTheme="minorHAnsi"/>
          <w:sz w:val="22"/>
          <w:szCs w:val="22"/>
        </w:rPr>
        <w:t xml:space="preserve">The amount of the penalty shall not be less than eighty dollars ($80) for each calendar day or portion thereof, if </w:t>
      </w:r>
      <w:r w:rsidR="009E392C" w:rsidRPr="00C015C0">
        <w:rPr>
          <w:rFonts w:asciiTheme="minorHAnsi" w:hAnsiTheme="minorHAnsi"/>
          <w:sz w:val="22"/>
          <w:szCs w:val="22"/>
        </w:rPr>
        <w:t>Contractor</w:t>
      </w:r>
      <w:r w:rsidRPr="00C015C0">
        <w:rPr>
          <w:rFonts w:asciiTheme="minorHAnsi" w:hAnsiTheme="minorHAnsi"/>
          <w:sz w:val="22"/>
          <w:szCs w:val="22"/>
        </w:rPr>
        <w:t xml:space="preserve"> or </w:t>
      </w:r>
      <w:r w:rsidR="009E392C" w:rsidRPr="00C015C0">
        <w:rPr>
          <w:rFonts w:asciiTheme="minorHAnsi" w:hAnsiTheme="minorHAnsi"/>
          <w:sz w:val="22"/>
          <w:szCs w:val="22"/>
        </w:rPr>
        <w:t>subcontractor</w:t>
      </w:r>
      <w:r w:rsidRPr="00C015C0">
        <w:rPr>
          <w:rFonts w:asciiTheme="minorHAnsi" w:hAnsiTheme="minorHAnsi"/>
          <w:sz w:val="22"/>
          <w:szCs w:val="22"/>
        </w:rPr>
        <w:t xml:space="preserve"> has been assessed penalties within the previous three (3) years for failing to meet its prevailing wage obligations on a separate contract, unless those penalties were subsequ</w:t>
      </w:r>
      <w:r w:rsidR="00323555" w:rsidRPr="00C015C0">
        <w:rPr>
          <w:rFonts w:asciiTheme="minorHAnsi" w:hAnsiTheme="minorHAnsi"/>
          <w:sz w:val="22"/>
          <w:szCs w:val="22"/>
        </w:rPr>
        <w:t xml:space="preserve">ently withdrawn or overturned. </w:t>
      </w:r>
    </w:p>
    <w:p w:rsidR="00323555" w:rsidRPr="00C015C0" w:rsidRDefault="00651F69" w:rsidP="003C3346">
      <w:pPr>
        <w:pStyle w:val="ListParagraph"/>
        <w:numPr>
          <w:ilvl w:val="0"/>
          <w:numId w:val="3"/>
        </w:numPr>
        <w:tabs>
          <w:tab w:val="left" w:pos="990"/>
        </w:tabs>
        <w:spacing w:after="120" w:line="240" w:lineRule="auto"/>
        <w:ind w:left="1440" w:hanging="540"/>
        <w:contextualSpacing w:val="0"/>
        <w:rPr>
          <w:rFonts w:asciiTheme="minorHAnsi" w:hAnsiTheme="minorHAnsi"/>
          <w:sz w:val="22"/>
          <w:szCs w:val="22"/>
        </w:rPr>
      </w:pPr>
      <w:r w:rsidRPr="00C015C0">
        <w:rPr>
          <w:rFonts w:asciiTheme="minorHAnsi" w:hAnsiTheme="minorHAnsi"/>
          <w:sz w:val="22"/>
          <w:szCs w:val="22"/>
        </w:rPr>
        <w:t xml:space="preserve">The amount of the penalty may not be less than one hundred twenty dollars ($120) for each calendar day, or portion thereof, if the Labor Commissioner determines the </w:t>
      </w:r>
      <w:r w:rsidR="009E392C" w:rsidRPr="00C015C0">
        <w:rPr>
          <w:rFonts w:asciiTheme="minorHAnsi" w:hAnsiTheme="minorHAnsi"/>
          <w:sz w:val="22"/>
          <w:szCs w:val="22"/>
        </w:rPr>
        <w:t>Contractor</w:t>
      </w:r>
      <w:r w:rsidRPr="00C015C0">
        <w:rPr>
          <w:rFonts w:asciiTheme="minorHAnsi" w:hAnsiTheme="minorHAnsi"/>
          <w:sz w:val="22"/>
          <w:szCs w:val="22"/>
        </w:rPr>
        <w:t xml:space="preserve"> or </w:t>
      </w:r>
      <w:r w:rsidR="009E392C" w:rsidRPr="00C015C0">
        <w:rPr>
          <w:rFonts w:asciiTheme="minorHAnsi" w:hAnsiTheme="minorHAnsi"/>
          <w:sz w:val="22"/>
          <w:szCs w:val="22"/>
        </w:rPr>
        <w:t>subcontractor</w:t>
      </w:r>
      <w:r w:rsidRPr="00C015C0">
        <w:rPr>
          <w:rFonts w:asciiTheme="minorHAnsi" w:hAnsiTheme="minorHAnsi"/>
          <w:sz w:val="22"/>
          <w:szCs w:val="22"/>
        </w:rPr>
        <w:t xml:space="preserve"> willfully violated Labor Code section 1775.  </w:t>
      </w:r>
    </w:p>
    <w:p w:rsidR="00651F69" w:rsidRPr="00C015C0" w:rsidRDefault="00651F69" w:rsidP="003C3346">
      <w:pPr>
        <w:pStyle w:val="ListParagraph"/>
        <w:numPr>
          <w:ilvl w:val="0"/>
          <w:numId w:val="3"/>
        </w:numPr>
        <w:tabs>
          <w:tab w:val="left" w:pos="990"/>
        </w:tabs>
        <w:spacing w:after="120" w:line="240" w:lineRule="auto"/>
        <w:ind w:left="1440" w:hanging="540"/>
        <w:contextualSpacing w:val="0"/>
        <w:rPr>
          <w:rFonts w:asciiTheme="minorHAnsi" w:hAnsiTheme="minorHAnsi"/>
          <w:sz w:val="22"/>
          <w:szCs w:val="22"/>
        </w:rPr>
      </w:pPr>
      <w:proofErr w:type="gramStart"/>
      <w:r w:rsidRPr="00C015C0">
        <w:rPr>
          <w:rFonts w:asciiTheme="minorHAnsi" w:hAnsiTheme="minorHAnsi"/>
          <w:sz w:val="22"/>
          <w:szCs w:val="22"/>
        </w:rPr>
        <w:t xml:space="preserve">The difference between such prevailing wage rates and the amount paid to each worker for each calendar day or portion thereof for which each worker was paid less than the prevailing wage rate shall be paid to each worker by </w:t>
      </w:r>
      <w:r w:rsidR="009E392C" w:rsidRPr="00C015C0">
        <w:rPr>
          <w:rFonts w:asciiTheme="minorHAnsi" w:hAnsiTheme="minorHAnsi"/>
          <w:sz w:val="22"/>
          <w:szCs w:val="22"/>
        </w:rPr>
        <w:t>Contractor</w:t>
      </w:r>
      <w:r w:rsidRPr="00C015C0">
        <w:rPr>
          <w:rFonts w:asciiTheme="minorHAnsi" w:hAnsiTheme="minorHAnsi"/>
          <w:sz w:val="22"/>
          <w:szCs w:val="22"/>
        </w:rPr>
        <w:t xml:space="preserve"> or </w:t>
      </w:r>
      <w:r w:rsidR="009E392C" w:rsidRPr="00C015C0">
        <w:rPr>
          <w:rFonts w:asciiTheme="minorHAnsi" w:hAnsiTheme="minorHAnsi"/>
          <w:sz w:val="22"/>
          <w:szCs w:val="22"/>
        </w:rPr>
        <w:t>subcontractor</w:t>
      </w:r>
      <w:proofErr w:type="gramEnd"/>
      <w:r w:rsidRPr="00C015C0">
        <w:rPr>
          <w:rFonts w:asciiTheme="minorHAnsi" w:hAnsiTheme="minorHAnsi"/>
          <w:sz w:val="22"/>
          <w:szCs w:val="22"/>
        </w:rPr>
        <w:t>.</w:t>
      </w:r>
    </w:p>
    <w:p w:rsidR="00DE5AC8" w:rsidRPr="00C964FC" w:rsidRDefault="00651F69" w:rsidP="00C964FC">
      <w:pPr>
        <w:pStyle w:val="ListParagraph"/>
        <w:numPr>
          <w:ilvl w:val="0"/>
          <w:numId w:val="2"/>
        </w:numPr>
        <w:tabs>
          <w:tab w:val="left" w:pos="990"/>
        </w:tabs>
        <w:spacing w:after="120" w:line="240" w:lineRule="auto"/>
        <w:ind w:left="907" w:hanging="547"/>
        <w:contextualSpacing w:val="0"/>
        <w:rPr>
          <w:rFonts w:asciiTheme="minorHAnsi" w:hAnsiTheme="minorHAnsi"/>
          <w:sz w:val="22"/>
          <w:szCs w:val="22"/>
        </w:rPr>
      </w:pPr>
      <w:r w:rsidRPr="00C015C0">
        <w:rPr>
          <w:rFonts w:asciiTheme="minorHAnsi" w:hAnsiTheme="minorHAnsi"/>
          <w:sz w:val="22"/>
          <w:szCs w:val="22"/>
        </w:rPr>
        <w:t xml:space="preserve">Wage rates set forth are the minimum that </w:t>
      </w:r>
      <w:proofErr w:type="gramStart"/>
      <w:r w:rsidRPr="00C015C0">
        <w:rPr>
          <w:rFonts w:asciiTheme="minorHAnsi" w:hAnsiTheme="minorHAnsi"/>
          <w:sz w:val="22"/>
          <w:szCs w:val="22"/>
        </w:rPr>
        <w:t>may be paid</w:t>
      </w:r>
      <w:proofErr w:type="gramEnd"/>
      <w:r w:rsidRPr="00C015C0">
        <w:rPr>
          <w:rFonts w:asciiTheme="minorHAnsi" w:hAnsiTheme="minorHAnsi"/>
          <w:sz w:val="22"/>
          <w:szCs w:val="22"/>
        </w:rPr>
        <w:t xml:space="preserve"> by the </w:t>
      </w:r>
      <w:r w:rsidR="009E392C" w:rsidRPr="00C015C0">
        <w:rPr>
          <w:rFonts w:asciiTheme="minorHAnsi" w:hAnsiTheme="minorHAnsi"/>
          <w:sz w:val="22"/>
          <w:szCs w:val="22"/>
        </w:rPr>
        <w:t>Contractor</w:t>
      </w:r>
      <w:r w:rsidRPr="00C015C0">
        <w:rPr>
          <w:rFonts w:asciiTheme="minorHAnsi" w:hAnsiTheme="minorHAnsi"/>
          <w:sz w:val="22"/>
          <w:szCs w:val="22"/>
        </w:rPr>
        <w:t xml:space="preserve">.  Nothing herein </w:t>
      </w:r>
      <w:proofErr w:type="gramStart"/>
      <w:r w:rsidRPr="00C015C0">
        <w:rPr>
          <w:rFonts w:asciiTheme="minorHAnsi" w:hAnsiTheme="minorHAnsi"/>
          <w:sz w:val="22"/>
          <w:szCs w:val="22"/>
        </w:rPr>
        <w:t>shall be construed</w:t>
      </w:r>
      <w:proofErr w:type="gramEnd"/>
      <w:r w:rsidRPr="00C015C0">
        <w:rPr>
          <w:rFonts w:asciiTheme="minorHAnsi" w:hAnsiTheme="minorHAnsi"/>
          <w:sz w:val="22"/>
          <w:szCs w:val="22"/>
        </w:rPr>
        <w:t xml:space="preserve"> as preventing the </w:t>
      </w:r>
      <w:r w:rsidR="009E392C" w:rsidRPr="00C015C0">
        <w:rPr>
          <w:rFonts w:asciiTheme="minorHAnsi" w:hAnsiTheme="minorHAnsi"/>
          <w:sz w:val="22"/>
          <w:szCs w:val="22"/>
        </w:rPr>
        <w:t>Contractor</w:t>
      </w:r>
      <w:r w:rsidRPr="00C015C0">
        <w:rPr>
          <w:rFonts w:asciiTheme="minorHAnsi" w:hAnsiTheme="minorHAnsi"/>
          <w:sz w:val="22"/>
          <w:szCs w:val="22"/>
        </w:rPr>
        <w:t xml:space="preserve"> from paying more than the minimum rates set.  No extra compensation whatsoever will be allowed by the </w:t>
      </w:r>
      <w:r w:rsidR="00DE5AC8" w:rsidRPr="00C015C0">
        <w:rPr>
          <w:rFonts w:asciiTheme="minorHAnsi" w:hAnsiTheme="minorHAnsi"/>
          <w:sz w:val="22"/>
          <w:szCs w:val="22"/>
        </w:rPr>
        <w:t>JBE</w:t>
      </w:r>
      <w:r w:rsidRPr="00C015C0">
        <w:rPr>
          <w:rFonts w:asciiTheme="minorHAnsi" w:hAnsiTheme="minorHAnsi"/>
          <w:sz w:val="22"/>
          <w:szCs w:val="22"/>
        </w:rPr>
        <w:t xml:space="preserve"> due to the inability of the </w:t>
      </w:r>
      <w:r w:rsidR="009E392C" w:rsidRPr="00C015C0">
        <w:rPr>
          <w:rFonts w:asciiTheme="minorHAnsi" w:hAnsiTheme="minorHAnsi"/>
          <w:sz w:val="22"/>
          <w:szCs w:val="22"/>
        </w:rPr>
        <w:t>Contractor</w:t>
      </w:r>
      <w:r w:rsidRPr="00C015C0">
        <w:rPr>
          <w:rFonts w:asciiTheme="minorHAnsi" w:hAnsiTheme="minorHAnsi"/>
          <w:sz w:val="22"/>
          <w:szCs w:val="22"/>
        </w:rPr>
        <w:t xml:space="preserve"> to hire labor at minimum rates, nor for necessity for payment by the </w:t>
      </w:r>
      <w:r w:rsidR="009E392C" w:rsidRPr="00C015C0">
        <w:rPr>
          <w:rFonts w:asciiTheme="minorHAnsi" w:hAnsiTheme="minorHAnsi"/>
          <w:sz w:val="22"/>
          <w:szCs w:val="22"/>
        </w:rPr>
        <w:t>Contractor</w:t>
      </w:r>
      <w:r w:rsidRPr="00C015C0">
        <w:rPr>
          <w:rFonts w:asciiTheme="minorHAnsi" w:hAnsiTheme="minorHAnsi"/>
          <w:sz w:val="22"/>
          <w:szCs w:val="22"/>
        </w:rPr>
        <w:t xml:space="preserve"> of subsistence, travel time, overtime, or other added compensations, all of which possibilities are elements to be considered and ascertained to the </w:t>
      </w:r>
      <w:r w:rsidR="009E392C" w:rsidRPr="00C015C0">
        <w:rPr>
          <w:rFonts w:asciiTheme="minorHAnsi" w:hAnsiTheme="minorHAnsi"/>
          <w:sz w:val="22"/>
          <w:szCs w:val="22"/>
        </w:rPr>
        <w:t>Contractor</w:t>
      </w:r>
      <w:r w:rsidRPr="00C015C0">
        <w:rPr>
          <w:rFonts w:asciiTheme="minorHAnsi" w:hAnsiTheme="minorHAnsi"/>
          <w:sz w:val="22"/>
          <w:szCs w:val="22"/>
        </w:rPr>
        <w:t>'s own</w:t>
      </w:r>
      <w:r w:rsidR="00DE5AC8" w:rsidRPr="00C015C0">
        <w:rPr>
          <w:rFonts w:asciiTheme="minorHAnsi" w:hAnsiTheme="minorHAnsi"/>
          <w:sz w:val="22"/>
          <w:szCs w:val="22"/>
        </w:rPr>
        <w:t xml:space="preserve"> satisfaction in preparing its p</w:t>
      </w:r>
      <w:r w:rsidRPr="00C015C0">
        <w:rPr>
          <w:rFonts w:asciiTheme="minorHAnsi" w:hAnsiTheme="minorHAnsi"/>
          <w:sz w:val="22"/>
          <w:szCs w:val="22"/>
        </w:rPr>
        <w:t>roposal.</w:t>
      </w:r>
    </w:p>
    <w:p w:rsidR="00651F69" w:rsidRPr="00C015C0" w:rsidRDefault="00651F69" w:rsidP="003C3346">
      <w:pPr>
        <w:pStyle w:val="ListParagraph"/>
        <w:numPr>
          <w:ilvl w:val="0"/>
          <w:numId w:val="2"/>
        </w:numPr>
        <w:tabs>
          <w:tab w:val="left" w:pos="900"/>
          <w:tab w:val="left" w:pos="990"/>
        </w:tabs>
        <w:spacing w:after="120" w:line="240" w:lineRule="auto"/>
        <w:ind w:left="900" w:hanging="540"/>
        <w:rPr>
          <w:rFonts w:asciiTheme="minorHAnsi" w:hAnsiTheme="minorHAnsi"/>
          <w:sz w:val="22"/>
          <w:szCs w:val="22"/>
        </w:rPr>
      </w:pPr>
      <w:r w:rsidRPr="00C015C0">
        <w:rPr>
          <w:rFonts w:asciiTheme="minorHAnsi" w:hAnsiTheme="minorHAnsi"/>
          <w:sz w:val="22"/>
          <w:szCs w:val="22"/>
        </w:rPr>
        <w:t xml:space="preserve">If it becomes necessary to employ </w:t>
      </w:r>
      <w:r w:rsidR="00566F7E">
        <w:rPr>
          <w:rFonts w:asciiTheme="minorHAnsi" w:hAnsiTheme="minorHAnsi"/>
          <w:sz w:val="22"/>
          <w:szCs w:val="22"/>
        </w:rPr>
        <w:t xml:space="preserve">a </w:t>
      </w:r>
      <w:r w:rsidRPr="00C015C0">
        <w:rPr>
          <w:rFonts w:asciiTheme="minorHAnsi" w:hAnsiTheme="minorHAnsi"/>
          <w:sz w:val="22"/>
          <w:szCs w:val="22"/>
        </w:rPr>
        <w:t>craft</w:t>
      </w:r>
      <w:r w:rsidR="00566F7E">
        <w:rPr>
          <w:rFonts w:asciiTheme="minorHAnsi" w:hAnsiTheme="minorHAnsi"/>
          <w:sz w:val="22"/>
          <w:szCs w:val="22"/>
        </w:rPr>
        <w:t>, classification or type of worker</w:t>
      </w:r>
      <w:r w:rsidRPr="00C015C0">
        <w:rPr>
          <w:rFonts w:asciiTheme="minorHAnsi" w:hAnsiTheme="minorHAnsi"/>
          <w:sz w:val="22"/>
          <w:szCs w:val="22"/>
        </w:rPr>
        <w:t xml:space="preserve"> other than those listed </w:t>
      </w:r>
      <w:r w:rsidR="00566F7E">
        <w:rPr>
          <w:rFonts w:asciiTheme="minorHAnsi" w:hAnsiTheme="minorHAnsi"/>
          <w:sz w:val="22"/>
          <w:szCs w:val="22"/>
        </w:rPr>
        <w:t xml:space="preserve">on-line at </w:t>
      </w:r>
      <w:hyperlink r:id="rId9" w:history="1">
        <w:r w:rsidR="00566F7E" w:rsidRPr="000B3CBE">
          <w:rPr>
            <w:rStyle w:val="Hyperlink"/>
            <w:rFonts w:asciiTheme="minorHAnsi" w:hAnsiTheme="minorHAnsi"/>
            <w:sz w:val="22"/>
            <w:szCs w:val="22"/>
          </w:rPr>
          <w:t>http://www.dir.ca.gov/oprl/DPreWageDetermination.htm</w:t>
        </w:r>
      </w:hyperlink>
      <w:r w:rsidR="00566F7E">
        <w:rPr>
          <w:rFonts w:asciiTheme="minorHAnsi" w:hAnsiTheme="minorHAnsi"/>
          <w:sz w:val="22"/>
          <w:szCs w:val="22"/>
        </w:rPr>
        <w:t xml:space="preserve">, </w:t>
      </w:r>
      <w:r w:rsidRPr="00C015C0">
        <w:rPr>
          <w:rFonts w:asciiTheme="minorHAnsi" w:hAnsiTheme="minorHAnsi"/>
          <w:sz w:val="22"/>
          <w:szCs w:val="22"/>
        </w:rPr>
        <w:t xml:space="preserve">the </w:t>
      </w:r>
      <w:r w:rsidR="009E392C" w:rsidRPr="00C015C0">
        <w:rPr>
          <w:rFonts w:asciiTheme="minorHAnsi" w:hAnsiTheme="minorHAnsi"/>
          <w:sz w:val="22"/>
          <w:szCs w:val="22"/>
        </w:rPr>
        <w:t>Contractor</w:t>
      </w:r>
      <w:r w:rsidRPr="00C015C0">
        <w:rPr>
          <w:rFonts w:asciiTheme="minorHAnsi" w:hAnsiTheme="minorHAnsi"/>
          <w:sz w:val="22"/>
          <w:szCs w:val="22"/>
        </w:rPr>
        <w:t xml:space="preserve"> shall contact the Division of Labor Statistics and Research </w:t>
      </w:r>
      <w:r w:rsidR="00566F7E">
        <w:rPr>
          <w:rFonts w:asciiTheme="minorHAnsi" w:hAnsiTheme="minorHAnsi"/>
          <w:sz w:val="22"/>
          <w:szCs w:val="22"/>
        </w:rPr>
        <w:t>to find the appropriate prevailing wage determination. If the Division of Labor Statistics and Research is unable to identify a determination that is applicable, the Contractor shall notify the Court immediately, and the Court will request a special determination from the Division of Labor Statistics and Research.</w:t>
      </w:r>
      <w:r w:rsidRPr="00C015C0">
        <w:rPr>
          <w:rFonts w:asciiTheme="minorHAnsi" w:hAnsiTheme="minorHAnsi"/>
          <w:sz w:val="22"/>
          <w:szCs w:val="22"/>
        </w:rPr>
        <w:t xml:space="preserve">  The rate thus determined shall be applicable </w:t>
      </w:r>
      <w:r w:rsidR="00566F7E">
        <w:rPr>
          <w:rFonts w:asciiTheme="minorHAnsi" w:hAnsiTheme="minorHAnsi"/>
          <w:sz w:val="22"/>
          <w:szCs w:val="22"/>
        </w:rPr>
        <w:t>from the commencement of the project.</w:t>
      </w:r>
    </w:p>
    <w:p w:rsidR="00651F69" w:rsidRPr="00C015C0" w:rsidRDefault="00651F69" w:rsidP="003C3346">
      <w:pPr>
        <w:pStyle w:val="ListParagraph"/>
        <w:tabs>
          <w:tab w:val="left" w:pos="990"/>
        </w:tabs>
        <w:spacing w:after="120" w:line="240" w:lineRule="auto"/>
        <w:ind w:left="900" w:hanging="540"/>
        <w:rPr>
          <w:rFonts w:asciiTheme="minorHAnsi" w:hAnsiTheme="minorHAnsi"/>
          <w:sz w:val="22"/>
          <w:szCs w:val="22"/>
        </w:rPr>
      </w:pPr>
    </w:p>
    <w:p w:rsidR="00DE5AC8" w:rsidRPr="009A3373" w:rsidRDefault="00651F69" w:rsidP="009A3373">
      <w:pPr>
        <w:pStyle w:val="ListParagraph"/>
        <w:numPr>
          <w:ilvl w:val="0"/>
          <w:numId w:val="2"/>
        </w:numPr>
        <w:tabs>
          <w:tab w:val="left" w:pos="900"/>
          <w:tab w:val="left" w:pos="990"/>
        </w:tabs>
        <w:spacing w:after="120" w:line="240" w:lineRule="auto"/>
        <w:ind w:left="907" w:hanging="547"/>
        <w:contextualSpacing w:val="0"/>
        <w:rPr>
          <w:rFonts w:asciiTheme="minorHAnsi" w:hAnsiTheme="minorHAnsi"/>
          <w:sz w:val="22"/>
          <w:szCs w:val="22"/>
        </w:rPr>
      </w:pPr>
      <w:r w:rsidRPr="00C015C0">
        <w:rPr>
          <w:rFonts w:asciiTheme="minorHAnsi" w:hAnsiTheme="minorHAnsi"/>
          <w:sz w:val="22"/>
          <w:szCs w:val="22"/>
        </w:rPr>
        <w:t xml:space="preserve">The </w:t>
      </w:r>
      <w:r w:rsidR="009E392C" w:rsidRPr="00C015C0">
        <w:rPr>
          <w:rFonts w:asciiTheme="minorHAnsi" w:hAnsiTheme="minorHAnsi"/>
          <w:sz w:val="22"/>
          <w:szCs w:val="22"/>
        </w:rPr>
        <w:t>Contractor</w:t>
      </w:r>
      <w:r w:rsidRPr="00C015C0">
        <w:rPr>
          <w:rFonts w:asciiTheme="minorHAnsi" w:hAnsiTheme="minorHAnsi"/>
          <w:sz w:val="22"/>
          <w:szCs w:val="22"/>
        </w:rPr>
        <w:t xml:space="preserve"> and each </w:t>
      </w:r>
      <w:r w:rsidR="009E392C" w:rsidRPr="00C015C0">
        <w:rPr>
          <w:rFonts w:asciiTheme="minorHAnsi" w:hAnsiTheme="minorHAnsi"/>
          <w:sz w:val="22"/>
          <w:szCs w:val="22"/>
        </w:rPr>
        <w:t>subcontractor</w:t>
      </w:r>
      <w:r w:rsidRPr="00C015C0">
        <w:rPr>
          <w:rFonts w:asciiTheme="minorHAnsi" w:hAnsiTheme="minorHAnsi"/>
          <w:sz w:val="22"/>
          <w:szCs w:val="22"/>
        </w:rPr>
        <w:t xml:space="preserve"> shall keep an accurate payroll record showing the names, addresses, social security numbers, work classifications, straight time and overtime hours worked each day and week, and the actual per diem wages paid to each journeyman, apprentice, worker, or other employee employed by the </w:t>
      </w:r>
      <w:r w:rsidR="009E392C" w:rsidRPr="00C015C0">
        <w:rPr>
          <w:rFonts w:asciiTheme="minorHAnsi" w:hAnsiTheme="minorHAnsi"/>
          <w:sz w:val="22"/>
          <w:szCs w:val="22"/>
        </w:rPr>
        <w:t>Contractor</w:t>
      </w:r>
      <w:r w:rsidRPr="00C015C0">
        <w:rPr>
          <w:rFonts w:asciiTheme="minorHAnsi" w:hAnsiTheme="minorHAnsi"/>
          <w:sz w:val="22"/>
          <w:szCs w:val="22"/>
        </w:rPr>
        <w:t xml:space="preserve"> and/or </w:t>
      </w:r>
      <w:r w:rsidR="009E392C" w:rsidRPr="00C015C0">
        <w:rPr>
          <w:rFonts w:asciiTheme="minorHAnsi" w:hAnsiTheme="minorHAnsi"/>
          <w:sz w:val="22"/>
          <w:szCs w:val="22"/>
        </w:rPr>
        <w:t>subcontractor</w:t>
      </w:r>
      <w:r w:rsidR="00DE5AC8" w:rsidRPr="00C015C0">
        <w:rPr>
          <w:rFonts w:asciiTheme="minorHAnsi" w:hAnsiTheme="minorHAnsi"/>
          <w:sz w:val="22"/>
          <w:szCs w:val="22"/>
        </w:rPr>
        <w:t xml:space="preserve"> in connection with the w</w:t>
      </w:r>
      <w:r w:rsidRPr="00C015C0">
        <w:rPr>
          <w:rFonts w:asciiTheme="minorHAnsi" w:hAnsiTheme="minorHAnsi"/>
          <w:sz w:val="22"/>
          <w:szCs w:val="22"/>
        </w:rPr>
        <w:t xml:space="preserve">ork.  Payroll records </w:t>
      </w:r>
      <w:proofErr w:type="gramStart"/>
      <w:r w:rsidRPr="00C015C0">
        <w:rPr>
          <w:rFonts w:asciiTheme="minorHAnsi" w:hAnsiTheme="minorHAnsi"/>
          <w:sz w:val="22"/>
          <w:szCs w:val="22"/>
        </w:rPr>
        <w:t>shall be certified</w:t>
      </w:r>
      <w:proofErr w:type="gramEnd"/>
      <w:r w:rsidRPr="00C015C0">
        <w:rPr>
          <w:rFonts w:asciiTheme="minorHAnsi" w:hAnsiTheme="minorHAnsi"/>
          <w:sz w:val="22"/>
          <w:szCs w:val="22"/>
        </w:rPr>
        <w:t xml:space="preserve"> and shall be on forms provided by the Division of Labor Standards Enforcement, or shall contain the same information as those forms.  Upon written request by the </w:t>
      </w:r>
      <w:r w:rsidR="00DE5AC8" w:rsidRPr="00C015C0">
        <w:rPr>
          <w:rFonts w:asciiTheme="minorHAnsi" w:hAnsiTheme="minorHAnsi"/>
          <w:sz w:val="22"/>
          <w:szCs w:val="22"/>
        </w:rPr>
        <w:t>JBE</w:t>
      </w:r>
      <w:r w:rsidRPr="00C015C0">
        <w:rPr>
          <w:rFonts w:asciiTheme="minorHAnsi" w:hAnsiTheme="minorHAnsi"/>
          <w:sz w:val="22"/>
          <w:szCs w:val="22"/>
        </w:rPr>
        <w:t xml:space="preserve">, the </w:t>
      </w:r>
      <w:proofErr w:type="gramStart"/>
      <w:r w:rsidR="009E392C" w:rsidRPr="00C015C0">
        <w:rPr>
          <w:rFonts w:asciiTheme="minorHAnsi" w:hAnsiTheme="minorHAnsi"/>
          <w:sz w:val="22"/>
          <w:szCs w:val="22"/>
        </w:rPr>
        <w:t>Contractor</w:t>
      </w:r>
      <w:r w:rsidRPr="00C015C0">
        <w:rPr>
          <w:rFonts w:asciiTheme="minorHAnsi" w:hAnsiTheme="minorHAnsi"/>
          <w:sz w:val="22"/>
          <w:szCs w:val="22"/>
        </w:rPr>
        <w:t>'s</w:t>
      </w:r>
      <w:proofErr w:type="gramEnd"/>
      <w:r w:rsidRPr="00C015C0">
        <w:rPr>
          <w:rFonts w:asciiTheme="minorHAnsi" w:hAnsiTheme="minorHAnsi"/>
          <w:sz w:val="22"/>
          <w:szCs w:val="22"/>
        </w:rPr>
        <w:t xml:space="preserve"> and </w:t>
      </w:r>
      <w:r w:rsidR="009E392C" w:rsidRPr="00C015C0">
        <w:rPr>
          <w:rFonts w:asciiTheme="minorHAnsi" w:hAnsiTheme="minorHAnsi"/>
          <w:sz w:val="22"/>
          <w:szCs w:val="22"/>
        </w:rPr>
        <w:t>subcontractor</w:t>
      </w:r>
      <w:r w:rsidRPr="00C015C0">
        <w:rPr>
          <w:rFonts w:asciiTheme="minorHAnsi" w:hAnsiTheme="minorHAnsi"/>
          <w:sz w:val="22"/>
          <w:szCs w:val="22"/>
        </w:rPr>
        <w:t xml:space="preserve">'s certified payroll records shall be furnished within ten (10) days.  The </w:t>
      </w:r>
      <w:proofErr w:type="gramStart"/>
      <w:r w:rsidR="009E392C" w:rsidRPr="00C015C0">
        <w:rPr>
          <w:rFonts w:asciiTheme="minorHAnsi" w:hAnsiTheme="minorHAnsi"/>
          <w:sz w:val="22"/>
          <w:szCs w:val="22"/>
        </w:rPr>
        <w:t>Contractor</w:t>
      </w:r>
      <w:r w:rsidRPr="00C015C0">
        <w:rPr>
          <w:rFonts w:asciiTheme="minorHAnsi" w:hAnsiTheme="minorHAnsi"/>
          <w:sz w:val="22"/>
          <w:szCs w:val="22"/>
        </w:rPr>
        <w:t>'s</w:t>
      </w:r>
      <w:proofErr w:type="gramEnd"/>
      <w:r w:rsidRPr="00C015C0">
        <w:rPr>
          <w:rFonts w:asciiTheme="minorHAnsi" w:hAnsiTheme="minorHAnsi"/>
          <w:sz w:val="22"/>
          <w:szCs w:val="22"/>
        </w:rPr>
        <w:t xml:space="preserve"> and </w:t>
      </w:r>
      <w:r w:rsidR="009E392C" w:rsidRPr="00C015C0">
        <w:rPr>
          <w:rFonts w:asciiTheme="minorHAnsi" w:hAnsiTheme="minorHAnsi"/>
          <w:sz w:val="22"/>
          <w:szCs w:val="22"/>
        </w:rPr>
        <w:t>subcontractor</w:t>
      </w:r>
      <w:r w:rsidRPr="00C015C0">
        <w:rPr>
          <w:rFonts w:asciiTheme="minorHAnsi" w:hAnsiTheme="minorHAnsi"/>
          <w:sz w:val="22"/>
          <w:szCs w:val="22"/>
        </w:rPr>
        <w:t xml:space="preserve">'s certified payroll records shall be available for inspection at the principal office of the </w:t>
      </w:r>
      <w:r w:rsidR="009E392C" w:rsidRPr="00C015C0">
        <w:rPr>
          <w:rFonts w:asciiTheme="minorHAnsi" w:hAnsiTheme="minorHAnsi"/>
          <w:sz w:val="22"/>
          <w:szCs w:val="22"/>
        </w:rPr>
        <w:t>Contractor</w:t>
      </w:r>
      <w:r w:rsidRPr="00C015C0">
        <w:rPr>
          <w:rFonts w:asciiTheme="minorHAnsi" w:hAnsiTheme="minorHAnsi"/>
          <w:sz w:val="22"/>
          <w:szCs w:val="22"/>
        </w:rPr>
        <w:t>.</w:t>
      </w:r>
    </w:p>
    <w:p w:rsidR="00DE5AC8" w:rsidRPr="009A3373" w:rsidRDefault="009E392C" w:rsidP="00B23F86">
      <w:pPr>
        <w:pStyle w:val="ListParagraph"/>
        <w:numPr>
          <w:ilvl w:val="0"/>
          <w:numId w:val="2"/>
        </w:numPr>
        <w:tabs>
          <w:tab w:val="left" w:pos="900"/>
          <w:tab w:val="left" w:pos="990"/>
        </w:tabs>
        <w:spacing w:after="120" w:line="240" w:lineRule="auto"/>
        <w:ind w:left="900" w:hanging="540"/>
        <w:contextualSpacing w:val="0"/>
        <w:rPr>
          <w:rFonts w:asciiTheme="minorHAnsi" w:hAnsiTheme="minorHAnsi"/>
          <w:sz w:val="22"/>
          <w:szCs w:val="22"/>
        </w:rPr>
      </w:pPr>
      <w:r w:rsidRPr="009A3373">
        <w:rPr>
          <w:rFonts w:asciiTheme="minorHAnsi" w:hAnsiTheme="minorHAnsi"/>
          <w:sz w:val="22"/>
          <w:szCs w:val="22"/>
        </w:rPr>
        <w:t>Contractor</w:t>
      </w:r>
      <w:r w:rsidR="00651F69" w:rsidRPr="009A3373">
        <w:rPr>
          <w:rFonts w:asciiTheme="minorHAnsi" w:hAnsiTheme="minorHAnsi"/>
          <w:sz w:val="22"/>
          <w:szCs w:val="22"/>
        </w:rPr>
        <w:t xml:space="preserve"> shall pay travel and subsistence payments to p</w:t>
      </w:r>
      <w:r w:rsidR="00DE5AC8" w:rsidRPr="009A3373">
        <w:rPr>
          <w:rFonts w:asciiTheme="minorHAnsi" w:hAnsiTheme="minorHAnsi"/>
          <w:sz w:val="22"/>
          <w:szCs w:val="22"/>
        </w:rPr>
        <w:t>ersons required to execute the w</w:t>
      </w:r>
      <w:r w:rsidR="00651F69" w:rsidRPr="009A3373">
        <w:rPr>
          <w:rFonts w:asciiTheme="minorHAnsi" w:hAnsiTheme="minorHAnsi"/>
          <w:sz w:val="22"/>
          <w:szCs w:val="22"/>
        </w:rPr>
        <w:t xml:space="preserve">ork as travel and subsistence payments </w:t>
      </w:r>
      <w:proofErr w:type="gramStart"/>
      <w:r w:rsidR="00651F69" w:rsidRPr="009A3373">
        <w:rPr>
          <w:rFonts w:asciiTheme="minorHAnsi" w:hAnsiTheme="minorHAnsi"/>
          <w:sz w:val="22"/>
          <w:szCs w:val="22"/>
        </w:rPr>
        <w:t>are defined</w:t>
      </w:r>
      <w:proofErr w:type="gramEnd"/>
      <w:r w:rsidR="00651F69" w:rsidRPr="009A3373">
        <w:rPr>
          <w:rFonts w:asciiTheme="minorHAnsi" w:hAnsiTheme="minorHAnsi"/>
          <w:sz w:val="22"/>
          <w:szCs w:val="22"/>
        </w:rPr>
        <w:t xml:space="preserve"> in applicable collective bargaining agreements filed with the Department of Industrial Relations, pursuant to Labor Code, Sections 1773.1 and 1773.9. </w:t>
      </w:r>
    </w:p>
    <w:p w:rsidR="00651F69" w:rsidRPr="00C015C0" w:rsidRDefault="009E392C" w:rsidP="003C3346">
      <w:pPr>
        <w:pStyle w:val="ListParagraph"/>
        <w:numPr>
          <w:ilvl w:val="0"/>
          <w:numId w:val="2"/>
        </w:numPr>
        <w:tabs>
          <w:tab w:val="left" w:pos="900"/>
          <w:tab w:val="left" w:pos="990"/>
        </w:tabs>
        <w:spacing w:after="120" w:line="240" w:lineRule="auto"/>
        <w:ind w:left="900" w:hanging="540"/>
        <w:contextualSpacing w:val="0"/>
        <w:rPr>
          <w:rFonts w:asciiTheme="minorHAnsi" w:hAnsiTheme="minorHAnsi"/>
          <w:sz w:val="22"/>
          <w:szCs w:val="22"/>
        </w:rPr>
      </w:pPr>
      <w:r w:rsidRPr="00C015C0">
        <w:rPr>
          <w:rFonts w:asciiTheme="minorHAnsi" w:hAnsiTheme="minorHAnsi"/>
          <w:sz w:val="22"/>
          <w:szCs w:val="22"/>
        </w:rPr>
        <w:t>Contractor</w:t>
      </w:r>
      <w:r w:rsidR="00651F69" w:rsidRPr="00C015C0">
        <w:rPr>
          <w:rFonts w:asciiTheme="minorHAnsi" w:hAnsiTheme="minorHAnsi"/>
          <w:sz w:val="22"/>
          <w:szCs w:val="22"/>
        </w:rPr>
        <w:t xml:space="preserve"> acknowledges and agrees that, if this </w:t>
      </w:r>
      <w:r w:rsidR="00DE5AC8" w:rsidRPr="00C015C0">
        <w:rPr>
          <w:rFonts w:asciiTheme="minorHAnsi" w:hAnsiTheme="minorHAnsi"/>
          <w:sz w:val="22"/>
          <w:szCs w:val="22"/>
        </w:rPr>
        <w:t xml:space="preserve">Agreement </w:t>
      </w:r>
      <w:r w:rsidR="00651F69" w:rsidRPr="00C015C0">
        <w:rPr>
          <w:rFonts w:asciiTheme="minorHAnsi" w:hAnsiTheme="minorHAnsi"/>
          <w:sz w:val="22"/>
          <w:szCs w:val="22"/>
        </w:rPr>
        <w:t xml:space="preserve">involves a dollar amount or </w:t>
      </w:r>
      <w:r w:rsidR="00E75336">
        <w:rPr>
          <w:rFonts w:asciiTheme="minorHAnsi" w:hAnsiTheme="minorHAnsi"/>
          <w:sz w:val="22"/>
          <w:szCs w:val="22"/>
        </w:rPr>
        <w:t xml:space="preserve">any other threshold, if any, </w:t>
      </w:r>
      <w:r w:rsidR="00651F69" w:rsidRPr="00C015C0">
        <w:rPr>
          <w:rFonts w:asciiTheme="minorHAnsi" w:hAnsiTheme="minorHAnsi"/>
          <w:sz w:val="22"/>
          <w:szCs w:val="22"/>
        </w:rPr>
        <w:t xml:space="preserve">greater than those specified in Labor Code section 1777.5, then this </w:t>
      </w:r>
      <w:r w:rsidR="00DE5AC8" w:rsidRPr="00C015C0">
        <w:rPr>
          <w:rFonts w:asciiTheme="minorHAnsi" w:hAnsiTheme="minorHAnsi"/>
          <w:sz w:val="22"/>
          <w:szCs w:val="22"/>
        </w:rPr>
        <w:t xml:space="preserve">Agreement </w:t>
      </w:r>
      <w:proofErr w:type="gramStart"/>
      <w:r w:rsidR="00651F69" w:rsidRPr="00C015C0">
        <w:rPr>
          <w:rFonts w:asciiTheme="minorHAnsi" w:hAnsiTheme="minorHAnsi"/>
          <w:sz w:val="22"/>
          <w:szCs w:val="22"/>
        </w:rPr>
        <w:t>is governed</w:t>
      </w:r>
      <w:proofErr w:type="gramEnd"/>
      <w:r w:rsidR="00651F69" w:rsidRPr="00C015C0">
        <w:rPr>
          <w:rFonts w:asciiTheme="minorHAnsi" w:hAnsiTheme="minorHAnsi"/>
          <w:sz w:val="22"/>
          <w:szCs w:val="22"/>
        </w:rPr>
        <w:t xml:space="preserve"> by the provisions of Labor Code </w:t>
      </w:r>
      <w:r w:rsidR="00E75336">
        <w:rPr>
          <w:rFonts w:asciiTheme="minorHAnsi" w:hAnsiTheme="minorHAnsi"/>
          <w:sz w:val="22"/>
          <w:szCs w:val="22"/>
        </w:rPr>
        <w:t>s</w:t>
      </w:r>
      <w:r w:rsidR="00651F69" w:rsidRPr="00C015C0">
        <w:rPr>
          <w:rFonts w:asciiTheme="minorHAnsi" w:hAnsiTheme="minorHAnsi"/>
          <w:sz w:val="22"/>
          <w:szCs w:val="22"/>
        </w:rPr>
        <w:t xml:space="preserve">ection 1777.5.  It shall be the responsibility of Contractor to ensure compliance </w:t>
      </w:r>
      <w:r w:rsidR="00E75336">
        <w:rPr>
          <w:rFonts w:asciiTheme="minorHAnsi" w:hAnsiTheme="minorHAnsi"/>
          <w:sz w:val="22"/>
          <w:szCs w:val="22"/>
        </w:rPr>
        <w:t xml:space="preserve">with </w:t>
      </w:r>
      <w:r w:rsidR="00651F69" w:rsidRPr="00C015C0">
        <w:rPr>
          <w:rFonts w:asciiTheme="minorHAnsi" w:hAnsiTheme="minorHAnsi"/>
          <w:sz w:val="22"/>
          <w:szCs w:val="22"/>
        </w:rPr>
        <w:t>Labor Code section 1777.5 for all apprenticeship occupations.</w:t>
      </w:r>
      <w:r w:rsidR="00E75336">
        <w:rPr>
          <w:rFonts w:asciiTheme="minorHAnsi" w:hAnsiTheme="minorHAnsi"/>
          <w:sz w:val="22"/>
          <w:szCs w:val="22"/>
        </w:rPr>
        <w:t xml:space="preserve">  If Labor Code section 1777.5 applies, then:</w:t>
      </w:r>
    </w:p>
    <w:p w:rsidR="00651F69" w:rsidRPr="00C015C0" w:rsidRDefault="009E392C" w:rsidP="00E75336">
      <w:pPr>
        <w:pStyle w:val="ListParagraph"/>
        <w:tabs>
          <w:tab w:val="left" w:pos="990"/>
        </w:tabs>
        <w:spacing w:after="120" w:line="240" w:lineRule="auto"/>
        <w:ind w:left="1440"/>
        <w:contextualSpacing w:val="0"/>
        <w:rPr>
          <w:rFonts w:asciiTheme="minorHAnsi" w:hAnsiTheme="minorHAnsi"/>
          <w:sz w:val="22"/>
          <w:szCs w:val="22"/>
        </w:rPr>
      </w:pPr>
      <w:r w:rsidRPr="00C015C0">
        <w:rPr>
          <w:rFonts w:asciiTheme="minorHAnsi" w:hAnsiTheme="minorHAnsi"/>
          <w:sz w:val="22"/>
          <w:szCs w:val="22"/>
        </w:rPr>
        <w:t>Contractor</w:t>
      </w:r>
      <w:r w:rsidR="00651F69" w:rsidRPr="00C015C0">
        <w:rPr>
          <w:rFonts w:asciiTheme="minorHAnsi" w:hAnsiTheme="minorHAnsi"/>
          <w:sz w:val="22"/>
          <w:szCs w:val="22"/>
        </w:rPr>
        <w:t xml:space="preserve"> shall only employ properly registered apprentices in the execution of the </w:t>
      </w:r>
      <w:r w:rsidR="006704C1">
        <w:rPr>
          <w:rFonts w:asciiTheme="minorHAnsi" w:hAnsiTheme="minorHAnsi"/>
          <w:sz w:val="22"/>
          <w:szCs w:val="22"/>
        </w:rPr>
        <w:t>w</w:t>
      </w:r>
      <w:r w:rsidR="00651F69" w:rsidRPr="00C015C0">
        <w:rPr>
          <w:rFonts w:asciiTheme="minorHAnsi" w:hAnsiTheme="minorHAnsi"/>
          <w:sz w:val="22"/>
          <w:szCs w:val="22"/>
        </w:rPr>
        <w:t xml:space="preserve">ork.  Every apprentice </w:t>
      </w:r>
      <w:proofErr w:type="gramStart"/>
      <w:r w:rsidR="00651F69" w:rsidRPr="00C015C0">
        <w:rPr>
          <w:rFonts w:asciiTheme="minorHAnsi" w:hAnsiTheme="minorHAnsi"/>
          <w:sz w:val="22"/>
          <w:szCs w:val="22"/>
        </w:rPr>
        <w:t>shall be paid</w:t>
      </w:r>
      <w:proofErr w:type="gramEnd"/>
      <w:r w:rsidR="00651F69" w:rsidRPr="00C015C0">
        <w:rPr>
          <w:rFonts w:asciiTheme="minorHAnsi" w:hAnsiTheme="minorHAnsi"/>
          <w:sz w:val="22"/>
          <w:szCs w:val="22"/>
        </w:rPr>
        <w:t xml:space="preserve"> the standard wage paid to apprentices under the regulations of the craft or trade at which the apprentice is employed, and shall be employed only at the work of the craft or trade to which the apprentice is registered.  </w:t>
      </w:r>
    </w:p>
    <w:p w:rsidR="00651F69" w:rsidRPr="00C015C0" w:rsidRDefault="00651F69" w:rsidP="00E75336">
      <w:pPr>
        <w:pStyle w:val="ListParagraph"/>
        <w:tabs>
          <w:tab w:val="left" w:pos="990"/>
        </w:tabs>
        <w:spacing w:after="120" w:line="240" w:lineRule="auto"/>
        <w:ind w:left="1440"/>
        <w:rPr>
          <w:rFonts w:asciiTheme="minorHAnsi" w:hAnsiTheme="minorHAnsi"/>
          <w:sz w:val="22"/>
          <w:szCs w:val="22"/>
        </w:rPr>
      </w:pPr>
    </w:p>
    <w:sectPr w:rsidR="00651F69" w:rsidRPr="00C015C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01F" w:rsidRDefault="0079401F" w:rsidP="00F518F3">
      <w:pPr>
        <w:spacing w:line="240" w:lineRule="auto"/>
      </w:pPr>
      <w:r>
        <w:separator/>
      </w:r>
    </w:p>
  </w:endnote>
  <w:endnote w:type="continuationSeparator" w:id="0">
    <w:p w:rsidR="0079401F" w:rsidRDefault="0079401F" w:rsidP="00F51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694768"/>
      <w:docPartObj>
        <w:docPartGallery w:val="Page Numbers (Bottom of Page)"/>
        <w:docPartUnique/>
      </w:docPartObj>
    </w:sdtPr>
    <w:sdtEndPr>
      <w:rPr>
        <w:rFonts w:asciiTheme="minorHAnsi" w:hAnsiTheme="minorHAnsi"/>
        <w:color w:val="7F7F7F" w:themeColor="background1" w:themeShade="7F"/>
        <w:spacing w:val="60"/>
        <w:sz w:val="22"/>
        <w:szCs w:val="22"/>
      </w:rPr>
    </w:sdtEndPr>
    <w:sdtContent>
      <w:p w:rsidR="008A639C" w:rsidRPr="00FB4B14" w:rsidRDefault="008A639C">
        <w:pPr>
          <w:pStyle w:val="Footer"/>
          <w:pBdr>
            <w:top w:val="single" w:sz="4" w:space="1" w:color="D9D9D9" w:themeColor="background1" w:themeShade="D9"/>
          </w:pBdr>
          <w:jc w:val="right"/>
          <w:rPr>
            <w:rFonts w:asciiTheme="minorHAnsi" w:hAnsiTheme="minorHAnsi"/>
            <w:sz w:val="22"/>
            <w:szCs w:val="22"/>
          </w:rPr>
        </w:pPr>
        <w:r w:rsidRPr="00FB4B14">
          <w:rPr>
            <w:rFonts w:asciiTheme="minorHAnsi" w:hAnsiTheme="minorHAnsi"/>
            <w:sz w:val="22"/>
            <w:szCs w:val="22"/>
          </w:rPr>
          <w:fldChar w:fldCharType="begin"/>
        </w:r>
        <w:r w:rsidRPr="00FB4B14">
          <w:rPr>
            <w:rFonts w:asciiTheme="minorHAnsi" w:hAnsiTheme="minorHAnsi"/>
            <w:sz w:val="22"/>
            <w:szCs w:val="22"/>
          </w:rPr>
          <w:instrText xml:space="preserve"> PAGE   \* MERGEFORMAT </w:instrText>
        </w:r>
        <w:r w:rsidRPr="00FB4B14">
          <w:rPr>
            <w:rFonts w:asciiTheme="minorHAnsi" w:hAnsiTheme="minorHAnsi"/>
            <w:sz w:val="22"/>
            <w:szCs w:val="22"/>
          </w:rPr>
          <w:fldChar w:fldCharType="separate"/>
        </w:r>
        <w:r w:rsidR="00FB4B14">
          <w:rPr>
            <w:rFonts w:asciiTheme="minorHAnsi" w:hAnsiTheme="minorHAnsi"/>
            <w:noProof/>
            <w:sz w:val="22"/>
            <w:szCs w:val="22"/>
          </w:rPr>
          <w:t>2</w:t>
        </w:r>
        <w:r w:rsidRPr="00FB4B14">
          <w:rPr>
            <w:rFonts w:asciiTheme="minorHAnsi" w:hAnsiTheme="minorHAnsi"/>
            <w:noProof/>
            <w:sz w:val="22"/>
            <w:szCs w:val="22"/>
          </w:rPr>
          <w:fldChar w:fldCharType="end"/>
        </w:r>
        <w:r w:rsidRPr="00FB4B14">
          <w:rPr>
            <w:rFonts w:asciiTheme="minorHAnsi" w:hAnsiTheme="minorHAnsi"/>
            <w:sz w:val="22"/>
            <w:szCs w:val="22"/>
          </w:rPr>
          <w:t xml:space="preserve"> | </w:t>
        </w:r>
        <w:r w:rsidRPr="00FB4B14">
          <w:rPr>
            <w:rFonts w:asciiTheme="minorHAnsi" w:hAnsiTheme="minorHAnsi"/>
            <w:color w:val="7F7F7F" w:themeColor="background1" w:themeShade="7F"/>
            <w:spacing w:val="60"/>
            <w:sz w:val="22"/>
            <w:szCs w:val="22"/>
          </w:rPr>
          <w:t>Page</w:t>
        </w:r>
      </w:p>
    </w:sdtContent>
  </w:sdt>
  <w:p w:rsidR="00670A61" w:rsidRPr="00FB4B14" w:rsidRDefault="008A639C" w:rsidP="008A639C">
    <w:pPr>
      <w:pStyle w:val="Footer"/>
      <w:rPr>
        <w:rFonts w:asciiTheme="minorHAnsi" w:hAnsiTheme="minorHAnsi"/>
        <w:sz w:val="22"/>
        <w:szCs w:val="22"/>
      </w:rPr>
    </w:pPr>
    <w:r w:rsidRPr="00FB4B14">
      <w:rPr>
        <w:rFonts w:asciiTheme="minorHAnsi" w:hAnsiTheme="minorHAnsi"/>
        <w:sz w:val="22"/>
        <w:szCs w:val="22"/>
      </w:rPr>
      <w:t>v. 12/19/16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01F" w:rsidRDefault="0079401F" w:rsidP="00F518F3">
      <w:pPr>
        <w:spacing w:line="240" w:lineRule="auto"/>
      </w:pPr>
      <w:r>
        <w:separator/>
      </w:r>
    </w:p>
  </w:footnote>
  <w:footnote w:type="continuationSeparator" w:id="0">
    <w:p w:rsidR="0079401F" w:rsidRDefault="0079401F" w:rsidP="00F518F3">
      <w:pPr>
        <w:spacing w:line="240" w:lineRule="auto"/>
      </w:pPr>
      <w:r>
        <w:continuationSeparator/>
      </w:r>
    </w:p>
  </w:footnote>
  <w:footnote w:id="1">
    <w:p w:rsidR="00F518F3" w:rsidRPr="00C20037" w:rsidRDefault="00F518F3" w:rsidP="00F518F3">
      <w:pPr>
        <w:pStyle w:val="ListParagraph"/>
        <w:spacing w:after="60" w:line="240" w:lineRule="auto"/>
        <w:ind w:left="0"/>
        <w:contextualSpacing w:val="0"/>
        <w:rPr>
          <w:sz w:val="20"/>
          <w:szCs w:val="20"/>
        </w:rPr>
      </w:pPr>
      <w:r>
        <w:rPr>
          <w:rStyle w:val="FootnoteReference"/>
        </w:rPr>
        <w:footnoteRef/>
      </w:r>
      <w:r>
        <w:t xml:space="preserve"> </w:t>
      </w:r>
      <w:r w:rsidRPr="00734E78">
        <w:rPr>
          <w:sz w:val="20"/>
          <w:szCs w:val="20"/>
        </w:rPr>
        <w:t xml:space="preserve">Under the </w:t>
      </w:r>
      <w:r>
        <w:rPr>
          <w:sz w:val="20"/>
          <w:szCs w:val="20"/>
        </w:rPr>
        <w:t xml:space="preserve">California </w:t>
      </w:r>
      <w:r w:rsidRPr="00734E78">
        <w:rPr>
          <w:sz w:val="20"/>
          <w:szCs w:val="20"/>
        </w:rPr>
        <w:t>Labor Code, public works include</w:t>
      </w:r>
      <w:r>
        <w:rPr>
          <w:sz w:val="20"/>
          <w:szCs w:val="20"/>
        </w:rPr>
        <w:t>, for example,</w:t>
      </w:r>
      <w:r w:rsidRPr="00734E78">
        <w:rPr>
          <w:sz w:val="20"/>
          <w:szCs w:val="20"/>
        </w:rPr>
        <w:t xml:space="preserve"> construction, alteration, demolition, installation, repair, or maintenance work that is paid for in whole or in part out of public funds</w:t>
      </w:r>
      <w:r>
        <w:rPr>
          <w:sz w:val="20"/>
          <w:szCs w:val="20"/>
        </w:rPr>
        <w:t xml:space="preserve"> (Labor Code </w:t>
      </w:r>
      <w:r w:rsidRPr="00C7559B">
        <w:rPr>
          <w:sz w:val="20"/>
          <w:szCs w:val="20"/>
        </w:rPr>
        <w:t>§§</w:t>
      </w:r>
      <w:r>
        <w:rPr>
          <w:sz w:val="20"/>
          <w:szCs w:val="20"/>
        </w:rPr>
        <w:t xml:space="preserve"> 1720(a)(1) and 1771)</w:t>
      </w:r>
      <w:r w:rsidRPr="00734E78">
        <w:rPr>
          <w:sz w:val="20"/>
          <w:szCs w:val="20"/>
        </w:rPr>
        <w:t>. Public works also include</w:t>
      </w:r>
      <w:r>
        <w:rPr>
          <w:sz w:val="20"/>
          <w:szCs w:val="20"/>
        </w:rPr>
        <w:t>, but are not limited to,</w:t>
      </w:r>
      <w:r w:rsidRPr="00734E78">
        <w:rPr>
          <w:sz w:val="20"/>
          <w:szCs w:val="20"/>
        </w:rPr>
        <w:t xml:space="preserve"> carpeting (Labor Code</w:t>
      </w:r>
      <w:r>
        <w:rPr>
          <w:sz w:val="20"/>
          <w:szCs w:val="20"/>
        </w:rPr>
        <w:t xml:space="preserve"> </w:t>
      </w:r>
      <w:r w:rsidRPr="00C7559B">
        <w:rPr>
          <w:sz w:val="20"/>
          <w:szCs w:val="20"/>
        </w:rPr>
        <w:t>§</w:t>
      </w:r>
      <w:r w:rsidRPr="00734E78">
        <w:rPr>
          <w:sz w:val="20"/>
          <w:szCs w:val="20"/>
        </w:rPr>
        <w:t xml:space="preserve"> 1720(a</w:t>
      </w:r>
      <w:proofErr w:type="gramStart"/>
      <w:r w:rsidRPr="00734E78">
        <w:rPr>
          <w:sz w:val="20"/>
          <w:szCs w:val="20"/>
        </w:rPr>
        <w:t>)(</w:t>
      </w:r>
      <w:proofErr w:type="gramEnd"/>
      <w:r w:rsidRPr="00734E78">
        <w:rPr>
          <w:sz w:val="20"/>
          <w:szCs w:val="20"/>
        </w:rPr>
        <w:t xml:space="preserve">5)), refuse hauling (Labor Code </w:t>
      </w:r>
      <w:r w:rsidRPr="00C7559B">
        <w:rPr>
          <w:sz w:val="20"/>
          <w:szCs w:val="20"/>
        </w:rPr>
        <w:t>§</w:t>
      </w:r>
      <w:r>
        <w:rPr>
          <w:sz w:val="20"/>
          <w:szCs w:val="20"/>
        </w:rPr>
        <w:t xml:space="preserve"> </w:t>
      </w:r>
      <w:r w:rsidRPr="00734E78">
        <w:rPr>
          <w:sz w:val="20"/>
          <w:szCs w:val="20"/>
        </w:rPr>
        <w:t xml:space="preserve">1720.3), and the assembly and disassembly of freestanding and affixed modular office systems (Labor Code </w:t>
      </w:r>
      <w:r w:rsidRPr="00C7559B">
        <w:rPr>
          <w:sz w:val="20"/>
          <w:szCs w:val="20"/>
        </w:rPr>
        <w:t>§</w:t>
      </w:r>
      <w:r>
        <w:rPr>
          <w:sz w:val="20"/>
          <w:szCs w:val="20"/>
        </w:rPr>
        <w:t xml:space="preserve"> </w:t>
      </w:r>
      <w:r w:rsidRPr="00734E78">
        <w:rPr>
          <w:sz w:val="20"/>
          <w:szCs w:val="20"/>
        </w:rPr>
        <w:t xml:space="preserve">1720(a)(1)). </w:t>
      </w:r>
    </w:p>
  </w:footnote>
  <w:footnote w:id="2">
    <w:p w:rsidR="00F518F3" w:rsidRDefault="00F518F3" w:rsidP="00F518F3">
      <w:pPr>
        <w:pStyle w:val="FootnoteText"/>
      </w:pPr>
      <w:r>
        <w:rPr>
          <w:rStyle w:val="FootnoteReference"/>
        </w:rPr>
        <w:footnoteRef/>
      </w:r>
      <w:r>
        <w:t xml:space="preserve"> Labor Code </w:t>
      </w:r>
      <w:r w:rsidRPr="00C7559B">
        <w:t>§§</w:t>
      </w:r>
      <w:r>
        <w:t xml:space="preserve"> 1771.1 and 1725.5.</w:t>
      </w:r>
    </w:p>
  </w:footnote>
  <w:footnote w:id="3">
    <w:p w:rsidR="00F518F3" w:rsidRDefault="00F518F3" w:rsidP="00F518F3">
      <w:pPr>
        <w:pStyle w:val="FootnoteText"/>
      </w:pPr>
      <w:r>
        <w:rPr>
          <w:rStyle w:val="FootnoteReference"/>
        </w:rPr>
        <w:footnoteRef/>
      </w:r>
      <w:r>
        <w:t xml:space="preserve"> Labor Code </w:t>
      </w:r>
      <w:r w:rsidRPr="00C7559B">
        <w:t>§</w:t>
      </w:r>
      <w:r>
        <w:t xml:space="preserve"> 1771.1(b). Please also note that under Labor Code </w:t>
      </w:r>
      <w:r w:rsidRPr="00C7559B">
        <w:t>§</w:t>
      </w:r>
      <w:r>
        <w:t xml:space="preserve"> 1771.4(a</w:t>
      </w:r>
      <w:proofErr w:type="gramStart"/>
      <w:r>
        <w:t>)(</w:t>
      </w:r>
      <w:proofErr w:type="gramEnd"/>
      <w:r>
        <w:t>2), the JBE awarding the contract shall post or require the prime contractor to post job site notices as prescribed by regulation. (For information on the current regulation, contact the DIR.)</w:t>
      </w:r>
    </w:p>
  </w:footnote>
  <w:footnote w:id="4">
    <w:p w:rsidR="00F518F3" w:rsidRDefault="00F518F3" w:rsidP="00F518F3">
      <w:pPr>
        <w:pStyle w:val="FootnoteText"/>
      </w:pPr>
      <w:r>
        <w:rPr>
          <w:rStyle w:val="FootnoteReference"/>
        </w:rPr>
        <w:footnoteRef/>
      </w:r>
      <w:r>
        <w:t xml:space="preserve"> Labor Code </w:t>
      </w:r>
      <w:r w:rsidRPr="00C7559B">
        <w:t>§</w:t>
      </w:r>
      <w:r>
        <w:t xml:space="preserve"> 1773.3.</w:t>
      </w:r>
    </w:p>
  </w:footnote>
  <w:footnote w:id="5">
    <w:p w:rsidR="00F518F3" w:rsidRDefault="00F518F3" w:rsidP="00F518F3">
      <w:pPr>
        <w:pStyle w:val="FootnoteText"/>
      </w:pPr>
      <w:r>
        <w:rPr>
          <w:rStyle w:val="FootnoteReference"/>
        </w:rPr>
        <w:footnoteRef/>
      </w:r>
      <w:r>
        <w:t xml:space="preserve"> Labor Code </w:t>
      </w:r>
      <w:r w:rsidRPr="00C7559B">
        <w:t>§§</w:t>
      </w:r>
      <w:r>
        <w:t xml:space="preserve"> 1771.1(b) and 1771.4(a</w:t>
      </w:r>
      <w:proofErr w:type="gramStart"/>
      <w:r>
        <w:t>)(</w:t>
      </w:r>
      <w:proofErr w:type="gramEnd"/>
      <w:r>
        <w:t>1).</w:t>
      </w:r>
      <w:r w:rsidR="00422059">
        <w:t xml:space="preserve"> </w:t>
      </w:r>
    </w:p>
  </w:footnote>
  <w:footnote w:id="6">
    <w:p w:rsidR="00F518F3" w:rsidRDefault="00F518F3" w:rsidP="00F518F3">
      <w:pPr>
        <w:pStyle w:val="FootnoteText"/>
      </w:pPr>
      <w:r>
        <w:rPr>
          <w:rStyle w:val="FootnoteReference"/>
        </w:rPr>
        <w:footnoteRef/>
      </w:r>
      <w:r>
        <w:t xml:space="preserve"> This external link </w:t>
      </w:r>
      <w:proofErr w:type="gramStart"/>
      <w:r>
        <w:t>is being provided</w:t>
      </w:r>
      <w:proofErr w:type="gramEnd"/>
      <w:r>
        <w:t xml:space="preserve"> for general information purposes only. The Judicial Council does not warrant the accuracy, availability, or completeness of the information on the DIR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80C65"/>
    <w:multiLevelType w:val="hybridMultilevel"/>
    <w:tmpl w:val="1AACAD00"/>
    <w:lvl w:ilvl="0" w:tplc="8ED40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34383F"/>
    <w:multiLevelType w:val="hybridMultilevel"/>
    <w:tmpl w:val="A5D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43FAE"/>
    <w:multiLevelType w:val="hybridMultilevel"/>
    <w:tmpl w:val="725CA47E"/>
    <w:lvl w:ilvl="0" w:tplc="08D05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C01208"/>
    <w:multiLevelType w:val="hybridMultilevel"/>
    <w:tmpl w:val="47F0581A"/>
    <w:lvl w:ilvl="0" w:tplc="23386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3"/>
    <w:rsid w:val="00186E2E"/>
    <w:rsid w:val="001A00BC"/>
    <w:rsid w:val="002377E4"/>
    <w:rsid w:val="00283E29"/>
    <w:rsid w:val="002D388C"/>
    <w:rsid w:val="00323555"/>
    <w:rsid w:val="00331CF9"/>
    <w:rsid w:val="00390261"/>
    <w:rsid w:val="003C3346"/>
    <w:rsid w:val="00422059"/>
    <w:rsid w:val="004700BD"/>
    <w:rsid w:val="004B5B73"/>
    <w:rsid w:val="004C05DA"/>
    <w:rsid w:val="004D0F9D"/>
    <w:rsid w:val="004D3390"/>
    <w:rsid w:val="004D3E8A"/>
    <w:rsid w:val="005659E2"/>
    <w:rsid w:val="00566F7E"/>
    <w:rsid w:val="00651F69"/>
    <w:rsid w:val="00653B61"/>
    <w:rsid w:val="00663111"/>
    <w:rsid w:val="006704C1"/>
    <w:rsid w:val="00670A61"/>
    <w:rsid w:val="006A4EA5"/>
    <w:rsid w:val="00717F21"/>
    <w:rsid w:val="00757576"/>
    <w:rsid w:val="0079401F"/>
    <w:rsid w:val="007D186E"/>
    <w:rsid w:val="007E1D92"/>
    <w:rsid w:val="008A639C"/>
    <w:rsid w:val="008B5FC7"/>
    <w:rsid w:val="009305AF"/>
    <w:rsid w:val="00941693"/>
    <w:rsid w:val="00952032"/>
    <w:rsid w:val="009A3373"/>
    <w:rsid w:val="009E392C"/>
    <w:rsid w:val="00A07ACC"/>
    <w:rsid w:val="00A14A9B"/>
    <w:rsid w:val="00A2565A"/>
    <w:rsid w:val="00A56FC7"/>
    <w:rsid w:val="00AD1125"/>
    <w:rsid w:val="00B24909"/>
    <w:rsid w:val="00BD4CF0"/>
    <w:rsid w:val="00BE2D3E"/>
    <w:rsid w:val="00C015C0"/>
    <w:rsid w:val="00C043EA"/>
    <w:rsid w:val="00C14DB2"/>
    <w:rsid w:val="00C20037"/>
    <w:rsid w:val="00C21D6A"/>
    <w:rsid w:val="00C964FC"/>
    <w:rsid w:val="00CA1342"/>
    <w:rsid w:val="00D05014"/>
    <w:rsid w:val="00D147C8"/>
    <w:rsid w:val="00D63675"/>
    <w:rsid w:val="00DE5AC8"/>
    <w:rsid w:val="00E75336"/>
    <w:rsid w:val="00E86E7A"/>
    <w:rsid w:val="00E90942"/>
    <w:rsid w:val="00EC6290"/>
    <w:rsid w:val="00F44C61"/>
    <w:rsid w:val="00F518F3"/>
    <w:rsid w:val="00FB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F3"/>
    <w:pPr>
      <w:spacing w:after="0" w:line="276" w:lineRule="auto"/>
    </w:pPr>
    <w:rPr>
      <w:rFonts w:ascii="Arial" w:hAnsi="Arial"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8F3"/>
    <w:pPr>
      <w:ind w:left="720"/>
      <w:contextualSpacing/>
    </w:pPr>
  </w:style>
  <w:style w:type="paragraph" w:styleId="FootnoteText">
    <w:name w:val="footnote text"/>
    <w:basedOn w:val="Normal"/>
    <w:link w:val="FootnoteTextChar"/>
    <w:uiPriority w:val="99"/>
    <w:semiHidden/>
    <w:unhideWhenUsed/>
    <w:rsid w:val="00F518F3"/>
    <w:pPr>
      <w:spacing w:line="240" w:lineRule="auto"/>
    </w:pPr>
    <w:rPr>
      <w:rFonts w:eastAsiaTheme="minorEastAsia" w:cstheme="minorBidi"/>
      <w:sz w:val="20"/>
      <w:szCs w:val="20"/>
    </w:rPr>
  </w:style>
  <w:style w:type="character" w:customStyle="1" w:styleId="FootnoteTextChar">
    <w:name w:val="Footnote Text Char"/>
    <w:basedOn w:val="DefaultParagraphFont"/>
    <w:link w:val="FootnoteText"/>
    <w:uiPriority w:val="99"/>
    <w:semiHidden/>
    <w:rsid w:val="00F518F3"/>
    <w:rPr>
      <w:rFonts w:ascii="Arial" w:eastAsiaTheme="minorEastAsia" w:hAnsi="Arial"/>
      <w:sz w:val="20"/>
      <w:szCs w:val="20"/>
      <w:lang w:bidi="en-US"/>
    </w:rPr>
  </w:style>
  <w:style w:type="character" w:styleId="FootnoteReference">
    <w:name w:val="footnote reference"/>
    <w:basedOn w:val="DefaultParagraphFont"/>
    <w:uiPriority w:val="99"/>
    <w:semiHidden/>
    <w:unhideWhenUsed/>
    <w:rsid w:val="00F518F3"/>
    <w:rPr>
      <w:vertAlign w:val="superscript"/>
    </w:rPr>
  </w:style>
  <w:style w:type="character" w:styleId="Hyperlink">
    <w:name w:val="Hyperlink"/>
    <w:basedOn w:val="DefaultParagraphFont"/>
    <w:uiPriority w:val="99"/>
    <w:unhideWhenUsed/>
    <w:rsid w:val="00F518F3"/>
    <w:rPr>
      <w:color w:val="0563C1" w:themeColor="hyperlink"/>
      <w:u w:val="single"/>
    </w:rPr>
  </w:style>
  <w:style w:type="paragraph" w:styleId="Header">
    <w:name w:val="header"/>
    <w:basedOn w:val="Normal"/>
    <w:link w:val="HeaderChar"/>
    <w:uiPriority w:val="99"/>
    <w:unhideWhenUsed/>
    <w:rsid w:val="00670A61"/>
    <w:pPr>
      <w:tabs>
        <w:tab w:val="center" w:pos="4680"/>
        <w:tab w:val="right" w:pos="9360"/>
      </w:tabs>
      <w:spacing w:line="240" w:lineRule="auto"/>
    </w:pPr>
  </w:style>
  <w:style w:type="character" w:customStyle="1" w:styleId="HeaderChar">
    <w:name w:val="Header Char"/>
    <w:basedOn w:val="DefaultParagraphFont"/>
    <w:link w:val="Header"/>
    <w:uiPriority w:val="99"/>
    <w:rsid w:val="00670A61"/>
    <w:rPr>
      <w:rFonts w:ascii="Arial" w:hAnsi="Arial" w:cs="Times New Roman"/>
      <w:sz w:val="24"/>
      <w:szCs w:val="24"/>
      <w:lang w:bidi="en-US"/>
    </w:rPr>
  </w:style>
  <w:style w:type="paragraph" w:styleId="Footer">
    <w:name w:val="footer"/>
    <w:basedOn w:val="Normal"/>
    <w:link w:val="FooterChar"/>
    <w:uiPriority w:val="99"/>
    <w:unhideWhenUsed/>
    <w:rsid w:val="00670A61"/>
    <w:pPr>
      <w:tabs>
        <w:tab w:val="center" w:pos="4680"/>
        <w:tab w:val="right" w:pos="9360"/>
      </w:tabs>
      <w:spacing w:line="240" w:lineRule="auto"/>
    </w:pPr>
  </w:style>
  <w:style w:type="character" w:customStyle="1" w:styleId="FooterChar">
    <w:name w:val="Footer Char"/>
    <w:basedOn w:val="DefaultParagraphFont"/>
    <w:link w:val="Footer"/>
    <w:uiPriority w:val="99"/>
    <w:rsid w:val="00670A61"/>
    <w:rPr>
      <w:rFonts w:ascii="Arial" w:hAnsi="Arial" w:cs="Times New Roman"/>
      <w:sz w:val="24"/>
      <w:szCs w:val="24"/>
      <w:lang w:bidi="en-US"/>
    </w:rPr>
  </w:style>
  <w:style w:type="paragraph" w:styleId="BalloonText">
    <w:name w:val="Balloon Text"/>
    <w:basedOn w:val="Normal"/>
    <w:link w:val="BalloonTextChar"/>
    <w:uiPriority w:val="99"/>
    <w:semiHidden/>
    <w:unhideWhenUsed/>
    <w:rsid w:val="006A4E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EA5"/>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0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pwc100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r.ca.gov/oprl/DPreWageDetermin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FBAE-98C1-426D-B83A-EB79CB7D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2017-07-21T19:28:00Z</dcterms:created>
  <dcterms:modified xsi:type="dcterms:W3CDTF">2017-08-17T17:18:00Z</dcterms:modified>
</cp:coreProperties>
</file>