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5DCC3" w14:textId="596DD813" w:rsidR="00AF59F8" w:rsidRDefault="00AF59F8" w:rsidP="0005325E">
      <w:pPr>
        <w:spacing w:after="240"/>
        <w:rPr>
          <w:rFonts w:ascii="Times New Roman" w:hAnsi="Times New Roman" w:cs="Times New Roman"/>
          <w:b/>
          <w:sz w:val="20"/>
          <w:szCs w:val="20"/>
        </w:rPr>
      </w:pPr>
      <w:r w:rsidRPr="00AF59F8">
        <w:rPr>
          <w:rFonts w:ascii="Times New Roman" w:hAnsi="Times New Roman" w:cs="Times New Roman"/>
          <w:b/>
          <w:sz w:val="20"/>
          <w:szCs w:val="20"/>
        </w:rPr>
        <w:t>STATEMENT OF WORK</w:t>
      </w:r>
    </w:p>
    <w:p w14:paraId="03D5DCC4" w14:textId="77777777" w:rsidR="00744C6E" w:rsidRPr="00744C6E" w:rsidRDefault="00AF59F8" w:rsidP="0005325E">
      <w:pPr>
        <w:pStyle w:val="ListParagraph"/>
        <w:widowControl w:val="0"/>
        <w:numPr>
          <w:ilvl w:val="0"/>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b/>
          <w:sz w:val="20"/>
          <w:szCs w:val="20"/>
        </w:rPr>
        <w:t>WORK</w:t>
      </w:r>
    </w:p>
    <w:p w14:paraId="03D5DCC5" w14:textId="77777777" w:rsidR="00744C6E" w:rsidRPr="00744C6E" w:rsidRDefault="00744C6E" w:rsidP="0005325E">
      <w:pPr>
        <w:pStyle w:val="ListParagraph"/>
        <w:widowControl w:val="0"/>
        <w:numPr>
          <w:ilvl w:val="1"/>
          <w:numId w:val="2"/>
        </w:numPr>
        <w:spacing w:after="200"/>
        <w:contextualSpacing w:val="0"/>
        <w:jc w:val="left"/>
        <w:rPr>
          <w:rFonts w:ascii="Times New Roman" w:hAnsi="Times New Roman" w:cs="Times New Roman"/>
          <w:b/>
          <w:sz w:val="20"/>
          <w:szCs w:val="20"/>
        </w:rPr>
      </w:pPr>
      <w:r w:rsidRPr="00744C6E">
        <w:rPr>
          <w:rFonts w:ascii="Times New Roman" w:hAnsi="Times New Roman" w:cs="Times New Roman"/>
          <w:b/>
          <w:bCs/>
          <w:sz w:val="20"/>
          <w:szCs w:val="20"/>
        </w:rPr>
        <w:t>CONTRACTOR RESPONSIBILITIES:</w:t>
      </w:r>
    </w:p>
    <w:p w14:paraId="03D5DCC6" w14:textId="0736637A"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Advis</w:t>
      </w:r>
      <w:bookmarkStart w:id="0" w:name="_GoBack"/>
      <w:bookmarkEnd w:id="0"/>
      <w:r w:rsidRPr="00744C6E">
        <w:rPr>
          <w:rFonts w:ascii="Times New Roman" w:hAnsi="Times New Roman" w:cs="Times New Roman"/>
          <w:sz w:val="20"/>
          <w:szCs w:val="20"/>
        </w:rPr>
        <w:t>e and consult with the Court’s Executive Committee on matters relating to employee and labor relations and employer-employee relations, at such times and places as may be mutually agreed upon by Contractor and the Court.</w:t>
      </w:r>
    </w:p>
    <w:p w14:paraId="03D5DCC7" w14:textId="79FEA0FC"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As the designated representative of the Court’s Executive Committee, meet and confer in good faith with representatives of the labor organizations of the Court at such times and places as may be mutually agreed upon by Contractor</w:t>
      </w:r>
      <w:r w:rsidR="006700E7">
        <w:rPr>
          <w:rFonts w:ascii="Times New Roman" w:hAnsi="Times New Roman" w:cs="Times New Roman"/>
          <w:sz w:val="20"/>
          <w:szCs w:val="20"/>
        </w:rPr>
        <w:t xml:space="preserve"> and the Executive Committee.</w:t>
      </w:r>
    </w:p>
    <w:p w14:paraId="03D5DCC8" w14:textId="77777777"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 xml:space="preserve">Report to the Court’s executive management on the progress of ongoing negotiations with each of the recognized employee organizations. </w:t>
      </w:r>
      <w:r>
        <w:rPr>
          <w:rFonts w:ascii="Times New Roman" w:hAnsi="Times New Roman" w:cs="Times New Roman"/>
          <w:sz w:val="20"/>
          <w:szCs w:val="20"/>
        </w:rPr>
        <w:t>Attend one or more</w:t>
      </w:r>
      <w:r w:rsidRPr="00744C6E">
        <w:rPr>
          <w:rFonts w:ascii="Times New Roman" w:hAnsi="Times New Roman" w:cs="Times New Roman"/>
          <w:sz w:val="20"/>
          <w:szCs w:val="20"/>
        </w:rPr>
        <w:t xml:space="preserve"> Judges Executive Committee Meetings at the Court Executive Officer’s request.</w:t>
      </w:r>
    </w:p>
    <w:p w14:paraId="03D5DCC9" w14:textId="77777777"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Prepare proposals, employee communication and written memoranda of understanding in a form and manner approved by the Court’s executive management.</w:t>
      </w:r>
    </w:p>
    <w:p w14:paraId="03D5DCCA" w14:textId="1B51162E"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 xml:space="preserve">Visit the Court to actively assist in the Court’s labor relations as requested by the Court Executive </w:t>
      </w:r>
      <w:r w:rsidR="006700E7">
        <w:rPr>
          <w:rFonts w:ascii="Times New Roman" w:hAnsi="Times New Roman" w:cs="Times New Roman"/>
          <w:sz w:val="20"/>
          <w:szCs w:val="20"/>
        </w:rPr>
        <w:t>Committee</w:t>
      </w:r>
      <w:r w:rsidRPr="00744C6E">
        <w:rPr>
          <w:rFonts w:ascii="Times New Roman" w:hAnsi="Times New Roman" w:cs="Times New Roman"/>
          <w:sz w:val="20"/>
          <w:szCs w:val="20"/>
        </w:rPr>
        <w:t xml:space="preserve">. </w:t>
      </w:r>
    </w:p>
    <w:p w14:paraId="03D5DCCB" w14:textId="12703CCC"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 xml:space="preserve">Review, participate in, and make recommendations to the Court Executive </w:t>
      </w:r>
      <w:r w:rsidR="006700E7">
        <w:rPr>
          <w:rFonts w:ascii="Times New Roman" w:hAnsi="Times New Roman" w:cs="Times New Roman"/>
          <w:sz w:val="20"/>
          <w:szCs w:val="20"/>
        </w:rPr>
        <w:t>Committee</w:t>
      </w:r>
      <w:r w:rsidRPr="00744C6E">
        <w:rPr>
          <w:rFonts w:ascii="Times New Roman" w:hAnsi="Times New Roman" w:cs="Times New Roman"/>
          <w:sz w:val="20"/>
          <w:szCs w:val="20"/>
        </w:rPr>
        <w:t xml:space="preserve"> regarding employer and labor relations plans and programs.</w:t>
      </w:r>
    </w:p>
    <w:p w14:paraId="03D5DCCC" w14:textId="77777777"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Review and prepare analyses and recommendations on labor trends and changes in state and federal laws, statutes and regulations that may impact labor relations.</w:t>
      </w:r>
    </w:p>
    <w:p w14:paraId="03D5DCCD" w14:textId="77777777" w:rsidR="00744C6E" w:rsidRDefault="00744C6E" w:rsidP="0005325E">
      <w:pPr>
        <w:pStyle w:val="ListParagraph"/>
        <w:widowControl w:val="0"/>
        <w:numPr>
          <w:ilvl w:val="2"/>
          <w:numId w:val="2"/>
        </w:numPr>
        <w:spacing w:after="200"/>
        <w:contextualSpacing w:val="0"/>
        <w:jc w:val="left"/>
        <w:rPr>
          <w:rFonts w:ascii="Times New Roman" w:hAnsi="Times New Roman" w:cs="Times New Roman"/>
          <w:sz w:val="20"/>
          <w:szCs w:val="20"/>
        </w:rPr>
      </w:pPr>
      <w:r w:rsidRPr="00744C6E">
        <w:rPr>
          <w:rFonts w:ascii="Times New Roman" w:hAnsi="Times New Roman" w:cs="Times New Roman"/>
          <w:sz w:val="20"/>
          <w:szCs w:val="20"/>
        </w:rPr>
        <w:t>Administratively, Contractor’s Project Manager will:</w:t>
      </w:r>
    </w:p>
    <w:p w14:paraId="49786264" w14:textId="77777777" w:rsidR="004E2A42"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4E2A42">
        <w:rPr>
          <w:rFonts w:ascii="Times New Roman" w:hAnsi="Times New Roman" w:cs="Times New Roman"/>
          <w:sz w:val="20"/>
          <w:szCs w:val="20"/>
        </w:rPr>
        <w:t>Be responsible for managing initial meetings, data collection, feedback, change planning, issues resolution, agenda planning, preparation of participants, materials preparation, meeting facilitation, training delivery, meeting documentation, coaching, monitoring and follow-up; and</w:t>
      </w:r>
    </w:p>
    <w:p w14:paraId="03D5DCCF" w14:textId="2A6384B3" w:rsidR="00744C6E" w:rsidRPr="004E2A42"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4E2A42">
        <w:rPr>
          <w:rFonts w:ascii="Times New Roman" w:hAnsi="Times New Roman" w:cs="Times New Roman"/>
          <w:sz w:val="20"/>
          <w:szCs w:val="20"/>
        </w:rPr>
        <w:t>Serve as the Contractor’s primary contact; and</w:t>
      </w:r>
    </w:p>
    <w:p w14:paraId="03D5DCD0" w14:textId="77777777" w:rsidR="00744C6E"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744C6E">
        <w:rPr>
          <w:rFonts w:ascii="Times New Roman" w:hAnsi="Times New Roman" w:cs="Times New Roman"/>
          <w:sz w:val="20"/>
          <w:szCs w:val="20"/>
        </w:rPr>
        <w:t>Work closely with the Court’s Director of Human Resources;</w:t>
      </w:r>
      <w:r>
        <w:rPr>
          <w:rFonts w:ascii="Times New Roman" w:hAnsi="Times New Roman" w:cs="Times New Roman"/>
          <w:sz w:val="20"/>
          <w:szCs w:val="20"/>
        </w:rPr>
        <w:t xml:space="preserve"> and</w:t>
      </w:r>
    </w:p>
    <w:p w14:paraId="03D5DCD1" w14:textId="77777777" w:rsidR="00744C6E"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744C6E">
        <w:rPr>
          <w:rFonts w:ascii="Times New Roman" w:hAnsi="Times New Roman" w:cs="Times New Roman"/>
          <w:sz w:val="20"/>
          <w:szCs w:val="20"/>
        </w:rPr>
        <w:t>Act as the Chief Negotiator;</w:t>
      </w:r>
      <w:r>
        <w:rPr>
          <w:rFonts w:ascii="Times New Roman" w:hAnsi="Times New Roman" w:cs="Times New Roman"/>
          <w:sz w:val="20"/>
          <w:szCs w:val="20"/>
        </w:rPr>
        <w:t xml:space="preserve"> and</w:t>
      </w:r>
    </w:p>
    <w:p w14:paraId="03D5DCD2" w14:textId="77777777" w:rsidR="00744C6E"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744C6E">
        <w:rPr>
          <w:rFonts w:ascii="Times New Roman" w:hAnsi="Times New Roman" w:cs="Times New Roman"/>
          <w:sz w:val="20"/>
          <w:szCs w:val="20"/>
        </w:rPr>
        <w:t>Provide on-going status reports to the Court;</w:t>
      </w:r>
      <w:r>
        <w:rPr>
          <w:rFonts w:ascii="Times New Roman" w:hAnsi="Times New Roman" w:cs="Times New Roman"/>
          <w:sz w:val="20"/>
          <w:szCs w:val="20"/>
        </w:rPr>
        <w:t xml:space="preserve"> and</w:t>
      </w:r>
    </w:p>
    <w:p w14:paraId="03D5DCD3" w14:textId="77777777" w:rsidR="00744C6E"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744C6E">
        <w:rPr>
          <w:rFonts w:ascii="Times New Roman" w:hAnsi="Times New Roman" w:cs="Times New Roman"/>
          <w:sz w:val="20"/>
          <w:szCs w:val="20"/>
        </w:rPr>
        <w:t>Manage, prepare, and refine the Work’s end results;</w:t>
      </w:r>
      <w:r>
        <w:rPr>
          <w:rFonts w:ascii="Times New Roman" w:hAnsi="Times New Roman" w:cs="Times New Roman"/>
          <w:sz w:val="20"/>
          <w:szCs w:val="20"/>
        </w:rPr>
        <w:t xml:space="preserve"> and</w:t>
      </w:r>
    </w:p>
    <w:p w14:paraId="03D5DCD4" w14:textId="77777777" w:rsidR="00744C6E"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744C6E">
        <w:rPr>
          <w:rFonts w:ascii="Times New Roman" w:hAnsi="Times New Roman" w:cs="Times New Roman"/>
          <w:sz w:val="20"/>
          <w:szCs w:val="20"/>
        </w:rPr>
        <w:t>Proactively assist with the resolution of issues with any aspects of the Work; and</w:t>
      </w:r>
    </w:p>
    <w:p w14:paraId="7D68D4E6" w14:textId="67CBF3EC" w:rsidR="004E2A42" w:rsidRDefault="00744C6E" w:rsidP="004E2A42">
      <w:pPr>
        <w:pStyle w:val="ListParagraph"/>
        <w:widowControl w:val="0"/>
        <w:numPr>
          <w:ilvl w:val="3"/>
          <w:numId w:val="2"/>
        </w:numPr>
        <w:contextualSpacing w:val="0"/>
        <w:jc w:val="left"/>
        <w:rPr>
          <w:rFonts w:ascii="Times New Roman" w:hAnsi="Times New Roman" w:cs="Times New Roman"/>
          <w:sz w:val="20"/>
          <w:szCs w:val="20"/>
        </w:rPr>
      </w:pPr>
      <w:r w:rsidRPr="00744C6E">
        <w:rPr>
          <w:rFonts w:ascii="Times New Roman" w:hAnsi="Times New Roman" w:cs="Times New Roman"/>
          <w:sz w:val="20"/>
          <w:szCs w:val="20"/>
        </w:rPr>
        <w:t>Proactively anticipate Work deviations and t</w:t>
      </w:r>
      <w:r w:rsidR="004E2A42">
        <w:rPr>
          <w:rFonts w:ascii="Times New Roman" w:hAnsi="Times New Roman" w:cs="Times New Roman"/>
          <w:sz w:val="20"/>
          <w:szCs w:val="20"/>
        </w:rPr>
        <w:t>ake immediate corrective action; and</w:t>
      </w:r>
    </w:p>
    <w:p w14:paraId="03D5DCD6" w14:textId="39BC7FCE" w:rsidR="00A30C0A" w:rsidRPr="004E2A42" w:rsidRDefault="00A30C0A" w:rsidP="004E2A42">
      <w:pPr>
        <w:pStyle w:val="ListParagraph"/>
        <w:widowControl w:val="0"/>
        <w:numPr>
          <w:ilvl w:val="3"/>
          <w:numId w:val="2"/>
        </w:numPr>
        <w:spacing w:after="200"/>
        <w:contextualSpacing w:val="0"/>
        <w:jc w:val="left"/>
        <w:rPr>
          <w:rFonts w:ascii="Times New Roman" w:hAnsi="Times New Roman" w:cs="Times New Roman"/>
          <w:sz w:val="20"/>
          <w:szCs w:val="20"/>
        </w:rPr>
      </w:pPr>
      <w:r w:rsidRPr="004E2A42">
        <w:rPr>
          <w:rFonts w:ascii="Times New Roman" w:hAnsi="Times New Roman" w:cs="Times New Roman"/>
          <w:sz w:val="20"/>
          <w:szCs w:val="20"/>
        </w:rPr>
        <w:t xml:space="preserve">As set forth further in </w:t>
      </w:r>
      <w:r w:rsidR="0057750B" w:rsidRPr="004E2A42">
        <w:rPr>
          <w:rFonts w:ascii="Times New Roman" w:hAnsi="Times New Roman" w:cs="Times New Roman"/>
          <w:sz w:val="20"/>
          <w:szCs w:val="20"/>
        </w:rPr>
        <w:t>Exhibit D: Travel Expense Reimbursement</w:t>
      </w:r>
      <w:r w:rsidRPr="004E2A42">
        <w:rPr>
          <w:rFonts w:ascii="Times New Roman" w:hAnsi="Times New Roman" w:cs="Times New Roman"/>
          <w:sz w:val="20"/>
          <w:szCs w:val="20"/>
        </w:rPr>
        <w:t>, Contractor will follow Court’s policy regarding travel and travel expense reimbursement.</w:t>
      </w:r>
    </w:p>
    <w:p w14:paraId="03D5DCD7" w14:textId="77777777" w:rsidR="00744C6E" w:rsidRPr="00744C6E" w:rsidRDefault="00744C6E" w:rsidP="0005325E">
      <w:pPr>
        <w:pStyle w:val="ListParagraph"/>
        <w:widowControl w:val="0"/>
        <w:numPr>
          <w:ilvl w:val="1"/>
          <w:numId w:val="2"/>
        </w:numPr>
        <w:spacing w:after="200"/>
        <w:contextualSpacing w:val="0"/>
        <w:jc w:val="left"/>
        <w:rPr>
          <w:rFonts w:ascii="Times New Roman" w:hAnsi="Times New Roman" w:cs="Times New Roman"/>
          <w:b/>
          <w:sz w:val="20"/>
          <w:szCs w:val="20"/>
        </w:rPr>
      </w:pPr>
      <w:r w:rsidRPr="00744C6E">
        <w:rPr>
          <w:rFonts w:ascii="Times New Roman" w:hAnsi="Times New Roman" w:cs="Times New Roman"/>
          <w:b/>
          <w:sz w:val="20"/>
          <w:szCs w:val="20"/>
        </w:rPr>
        <w:t xml:space="preserve">COURT RESPONSIBILITIES </w:t>
      </w:r>
    </w:p>
    <w:p w14:paraId="03D5DCD8" w14:textId="77777777" w:rsidR="00744C6E" w:rsidRPr="00744C6E" w:rsidRDefault="00744C6E" w:rsidP="0005325E">
      <w:pPr>
        <w:pStyle w:val="ListParagraph"/>
        <w:widowControl w:val="0"/>
        <w:numPr>
          <w:ilvl w:val="2"/>
          <w:numId w:val="2"/>
        </w:numPr>
        <w:spacing w:after="200"/>
        <w:contextualSpacing w:val="0"/>
        <w:jc w:val="left"/>
        <w:rPr>
          <w:rFonts w:ascii="Times New Roman" w:hAnsi="Times New Roman" w:cs="Times New Roman"/>
          <w:b/>
          <w:sz w:val="20"/>
          <w:szCs w:val="20"/>
        </w:rPr>
      </w:pPr>
      <w:r w:rsidRPr="00744C6E">
        <w:rPr>
          <w:rFonts w:ascii="Times New Roman" w:hAnsi="Times New Roman" w:cs="Times New Roman"/>
          <w:sz w:val="20"/>
          <w:szCs w:val="20"/>
        </w:rPr>
        <w:t>Court’s Project Manager will serve as poi</w:t>
      </w:r>
      <w:r w:rsidR="006058D6">
        <w:rPr>
          <w:rFonts w:ascii="Times New Roman" w:hAnsi="Times New Roman" w:cs="Times New Roman"/>
          <w:sz w:val="20"/>
          <w:szCs w:val="20"/>
        </w:rPr>
        <w:t>nt of contact for any inquiries.</w:t>
      </w:r>
    </w:p>
    <w:p w14:paraId="03D5DCD9" w14:textId="77777777" w:rsidR="00AF59F8" w:rsidRPr="00744C6E" w:rsidRDefault="00AF59F8" w:rsidP="0005325E">
      <w:pPr>
        <w:pStyle w:val="ListParagraph"/>
        <w:widowControl w:val="0"/>
        <w:spacing w:after="200"/>
        <w:ind w:left="0"/>
        <w:contextualSpacing w:val="0"/>
        <w:rPr>
          <w:rFonts w:ascii="Times New Roman" w:hAnsi="Times New Roman" w:cs="Times New Roman"/>
          <w:i/>
          <w:sz w:val="20"/>
          <w:szCs w:val="20"/>
        </w:rPr>
      </w:pPr>
      <w:r w:rsidRPr="00744C6E">
        <w:rPr>
          <w:rFonts w:ascii="Times New Roman" w:hAnsi="Times New Roman" w:cs="Times New Roman"/>
          <w:i/>
          <w:sz w:val="20"/>
          <w:szCs w:val="20"/>
        </w:rPr>
        <w:t>End of Exhibit A</w:t>
      </w:r>
    </w:p>
    <w:sectPr w:rsidR="00AF59F8" w:rsidRPr="00744C6E" w:rsidSect="00A30C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DCDC" w14:textId="77777777" w:rsidR="00AF59F8" w:rsidRDefault="00AF59F8" w:rsidP="00AF59F8">
      <w:pPr>
        <w:spacing w:line="240" w:lineRule="auto"/>
      </w:pPr>
      <w:r>
        <w:separator/>
      </w:r>
    </w:p>
  </w:endnote>
  <w:endnote w:type="continuationSeparator" w:id="0">
    <w:p w14:paraId="03D5DCDD" w14:textId="77777777" w:rsidR="00AF59F8" w:rsidRDefault="00AF59F8" w:rsidP="00AF5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DCE0" w14:textId="7C114618" w:rsidR="00AF59F8" w:rsidRPr="00AF59F8" w:rsidRDefault="00AF59F8">
    <w:pPr>
      <w:pStyle w:val="Footer"/>
      <w:jc w:val="right"/>
      <w:rPr>
        <w:rFonts w:ascii="Times New Roman" w:hAnsi="Times New Roman" w:cs="Times New Roman"/>
        <w:sz w:val="16"/>
        <w:szCs w:val="16"/>
      </w:rPr>
    </w:pPr>
    <w:r w:rsidRPr="00AF59F8">
      <w:rPr>
        <w:rFonts w:ascii="Times New Roman" w:hAnsi="Times New Roman" w:cs="Times New Roman"/>
        <w:sz w:val="16"/>
        <w:szCs w:val="16"/>
      </w:rPr>
      <w:t xml:space="preserve">Exhibit </w:t>
    </w:r>
    <w:r>
      <w:rPr>
        <w:rFonts w:ascii="Times New Roman" w:hAnsi="Times New Roman" w:cs="Times New Roman"/>
        <w:sz w:val="16"/>
        <w:szCs w:val="16"/>
      </w:rPr>
      <w:t>A</w:t>
    </w:r>
    <w:r w:rsidRPr="00AF59F8">
      <w:rPr>
        <w:rFonts w:ascii="Times New Roman" w:hAnsi="Times New Roman" w:cs="Times New Roman"/>
        <w:sz w:val="16"/>
        <w:szCs w:val="16"/>
      </w:rPr>
      <w:t xml:space="preserve">: Statement of Work // </w:t>
    </w:r>
    <w:sdt>
      <w:sdtPr>
        <w:rPr>
          <w:rFonts w:ascii="Times New Roman" w:hAnsi="Times New Roman" w:cs="Times New Roman"/>
          <w:sz w:val="16"/>
          <w:szCs w:val="16"/>
        </w:rPr>
        <w:id w:val="1068147538"/>
        <w:docPartObj>
          <w:docPartGallery w:val="Page Numbers (Bottom of Page)"/>
          <w:docPartUnique/>
        </w:docPartObj>
      </w:sdtPr>
      <w:sdtEndPr/>
      <w:sdtContent>
        <w:sdt>
          <w:sdtPr>
            <w:rPr>
              <w:rFonts w:ascii="Times New Roman" w:hAnsi="Times New Roman" w:cs="Times New Roman"/>
              <w:sz w:val="16"/>
              <w:szCs w:val="16"/>
            </w:rPr>
            <w:id w:val="860082579"/>
            <w:docPartObj>
              <w:docPartGallery w:val="Page Numbers (Top of Page)"/>
              <w:docPartUnique/>
            </w:docPartObj>
          </w:sdtPr>
          <w:sdtEndPr/>
          <w:sdtContent>
            <w:r w:rsidRPr="00AF59F8">
              <w:rPr>
                <w:rFonts w:ascii="Times New Roman" w:hAnsi="Times New Roman" w:cs="Times New Roman"/>
                <w:sz w:val="16"/>
                <w:szCs w:val="16"/>
              </w:rPr>
              <w:t xml:space="preserve">Page </w:t>
            </w:r>
            <w:r w:rsidRPr="00AF59F8">
              <w:rPr>
                <w:rFonts w:ascii="Times New Roman" w:hAnsi="Times New Roman" w:cs="Times New Roman"/>
                <w:bCs/>
                <w:sz w:val="16"/>
                <w:szCs w:val="16"/>
              </w:rPr>
              <w:fldChar w:fldCharType="begin"/>
            </w:r>
            <w:r w:rsidRPr="00AF59F8">
              <w:rPr>
                <w:rFonts w:ascii="Times New Roman" w:hAnsi="Times New Roman" w:cs="Times New Roman"/>
                <w:bCs/>
                <w:sz w:val="16"/>
                <w:szCs w:val="16"/>
              </w:rPr>
              <w:instrText xml:space="preserve"> PAGE </w:instrText>
            </w:r>
            <w:r w:rsidRPr="00AF59F8">
              <w:rPr>
                <w:rFonts w:ascii="Times New Roman" w:hAnsi="Times New Roman" w:cs="Times New Roman"/>
                <w:bCs/>
                <w:sz w:val="16"/>
                <w:szCs w:val="16"/>
              </w:rPr>
              <w:fldChar w:fldCharType="separate"/>
            </w:r>
            <w:r w:rsidR="001226EB">
              <w:rPr>
                <w:rFonts w:ascii="Times New Roman" w:hAnsi="Times New Roman" w:cs="Times New Roman"/>
                <w:bCs/>
                <w:noProof/>
                <w:sz w:val="16"/>
                <w:szCs w:val="16"/>
              </w:rPr>
              <w:t>1</w:t>
            </w:r>
            <w:r w:rsidRPr="00AF59F8">
              <w:rPr>
                <w:rFonts w:ascii="Times New Roman" w:hAnsi="Times New Roman" w:cs="Times New Roman"/>
                <w:bCs/>
                <w:sz w:val="16"/>
                <w:szCs w:val="16"/>
              </w:rPr>
              <w:fldChar w:fldCharType="end"/>
            </w:r>
            <w:r w:rsidRPr="00AF59F8">
              <w:rPr>
                <w:rFonts w:ascii="Times New Roman" w:hAnsi="Times New Roman" w:cs="Times New Roman"/>
                <w:sz w:val="16"/>
                <w:szCs w:val="16"/>
              </w:rPr>
              <w:t xml:space="preserve"> of </w:t>
            </w:r>
            <w:r w:rsidRPr="00AF59F8">
              <w:rPr>
                <w:rFonts w:ascii="Times New Roman" w:hAnsi="Times New Roman" w:cs="Times New Roman"/>
                <w:bCs/>
                <w:sz w:val="16"/>
                <w:szCs w:val="16"/>
              </w:rPr>
              <w:fldChar w:fldCharType="begin"/>
            </w:r>
            <w:r w:rsidRPr="00AF59F8">
              <w:rPr>
                <w:rFonts w:ascii="Times New Roman" w:hAnsi="Times New Roman" w:cs="Times New Roman"/>
                <w:bCs/>
                <w:sz w:val="16"/>
                <w:szCs w:val="16"/>
              </w:rPr>
              <w:instrText xml:space="preserve"> NUMPAGES  </w:instrText>
            </w:r>
            <w:r w:rsidRPr="00AF59F8">
              <w:rPr>
                <w:rFonts w:ascii="Times New Roman" w:hAnsi="Times New Roman" w:cs="Times New Roman"/>
                <w:bCs/>
                <w:sz w:val="16"/>
                <w:szCs w:val="16"/>
              </w:rPr>
              <w:fldChar w:fldCharType="separate"/>
            </w:r>
            <w:r w:rsidR="001226EB">
              <w:rPr>
                <w:rFonts w:ascii="Times New Roman" w:hAnsi="Times New Roman" w:cs="Times New Roman"/>
                <w:bCs/>
                <w:noProof/>
                <w:sz w:val="16"/>
                <w:szCs w:val="16"/>
              </w:rPr>
              <w:t>1</w:t>
            </w:r>
            <w:r w:rsidRPr="00AF59F8">
              <w:rPr>
                <w:rFonts w:ascii="Times New Roman" w:hAnsi="Times New Roman" w:cs="Times New Roman"/>
                <w:bCs/>
                <w:sz w:val="16"/>
                <w:szCs w:val="16"/>
              </w:rPr>
              <w:fldChar w:fldCharType="end"/>
            </w:r>
          </w:sdtContent>
        </w:sdt>
      </w:sdtContent>
    </w:sdt>
  </w:p>
  <w:p w14:paraId="03D5DCE1" w14:textId="77777777" w:rsidR="00AF59F8" w:rsidRDefault="00AF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5DCDA" w14:textId="77777777" w:rsidR="00AF59F8" w:rsidRDefault="00AF59F8" w:rsidP="00AF59F8">
      <w:pPr>
        <w:spacing w:line="240" w:lineRule="auto"/>
      </w:pPr>
      <w:r>
        <w:separator/>
      </w:r>
    </w:p>
  </w:footnote>
  <w:footnote w:type="continuationSeparator" w:id="0">
    <w:p w14:paraId="03D5DCDB" w14:textId="77777777" w:rsidR="00AF59F8" w:rsidRDefault="00AF59F8" w:rsidP="00AF59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0DAB" w14:textId="3D3CBD91" w:rsidR="00755C6B" w:rsidRDefault="00755C6B" w:rsidP="00755C6B">
    <w:pPr>
      <w:pStyle w:val="Header"/>
      <w:tabs>
        <w:tab w:val="clear" w:pos="4680"/>
      </w:tabs>
      <w:jc w:val="left"/>
      <w:rPr>
        <w:b/>
        <w:sz w:val="20"/>
        <w:szCs w:val="20"/>
      </w:rPr>
    </w:pPr>
    <w:r>
      <w:rPr>
        <w:b/>
        <w:sz w:val="20"/>
        <w:szCs w:val="20"/>
      </w:rPr>
      <w:t>RFP Title: Labor Consultant</w:t>
    </w:r>
    <w:r w:rsidR="001226EB">
      <w:rPr>
        <w:b/>
        <w:sz w:val="20"/>
        <w:szCs w:val="20"/>
      </w:rPr>
      <w:t xml:space="preserve"> Services</w:t>
    </w:r>
    <w:r w:rsidR="007B614E">
      <w:rPr>
        <w:b/>
        <w:sz w:val="20"/>
        <w:szCs w:val="20"/>
      </w:rPr>
      <w:tab/>
      <w:t>Exhibit A</w:t>
    </w:r>
  </w:p>
  <w:p w14:paraId="7C7265DB" w14:textId="46C9DA1C" w:rsidR="00755C6B" w:rsidRDefault="00755C6B" w:rsidP="00755C6B">
    <w:pPr>
      <w:pStyle w:val="Header"/>
      <w:tabs>
        <w:tab w:val="clear" w:pos="4680"/>
      </w:tabs>
      <w:jc w:val="left"/>
      <w:rPr>
        <w:sz w:val="24"/>
        <w:szCs w:val="24"/>
      </w:rPr>
    </w:pPr>
    <w:r>
      <w:rPr>
        <w:b/>
        <w:sz w:val="20"/>
        <w:szCs w:val="20"/>
        <w:u w:val="single"/>
      </w:rPr>
      <w:t xml:space="preserve">RFP Number: 1819-208 </w:t>
    </w:r>
  </w:p>
  <w:p w14:paraId="03D5DCDF" w14:textId="77777777" w:rsidR="00AF59F8" w:rsidRPr="00AC584D" w:rsidRDefault="00AF59F8" w:rsidP="00AC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0098"/>
    <w:multiLevelType w:val="multilevel"/>
    <w:tmpl w:val="17440706"/>
    <w:lvl w:ilvl="0">
      <w:start w:val="1"/>
      <w:numFmt w:val="decimal"/>
      <w:lvlText w:val="%1."/>
      <w:lvlJc w:val="left"/>
      <w:pPr>
        <w:ind w:left="360" w:hanging="360"/>
      </w:pPr>
      <w:rPr>
        <w:rFonts w:hint="default"/>
        <w:b/>
      </w:rPr>
    </w:lvl>
    <w:lvl w:ilvl="1">
      <w:start w:val="1"/>
      <w:numFmt w:val="upperLetter"/>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 w15:restartNumberingAfterBreak="0">
    <w:nsid w:val="3F3A4E46"/>
    <w:multiLevelType w:val="hybridMultilevel"/>
    <w:tmpl w:val="46E2B566"/>
    <w:lvl w:ilvl="0" w:tplc="BE623780">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30C82"/>
    <w:multiLevelType w:val="multilevel"/>
    <w:tmpl w:val="3CFAA92E"/>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4" w15:restartNumberingAfterBreak="0">
    <w:nsid w:val="638C3A9A"/>
    <w:multiLevelType w:val="multilevel"/>
    <w:tmpl w:val="5F6C1F08"/>
    <w:styleLink w:val="Sharon"/>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5" w15:restartNumberingAfterBreak="0">
    <w:nsid w:val="713C5D40"/>
    <w:multiLevelType w:val="multilevel"/>
    <w:tmpl w:val="5F6C1F08"/>
    <w:numStyleLink w:val="Sharon"/>
  </w:abstractNum>
  <w:num w:numId="1">
    <w:abstractNumId w:val="3"/>
  </w:num>
  <w:num w:numId="2">
    <w:abstractNumId w:val="5"/>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1080" w:hanging="720"/>
        </w:pPr>
        <w:rPr>
          <w:rFonts w:hint="default"/>
          <w:b/>
        </w:rPr>
      </w:lvl>
    </w:lvlOverride>
    <w:lvlOverride w:ilvl="2">
      <w:lvl w:ilvl="2">
        <w:start w:val="1"/>
        <w:numFmt w:val="decimal"/>
        <w:lvlText w:val="%1.%2.%3."/>
        <w:lvlJc w:val="left"/>
        <w:pPr>
          <w:ind w:left="1800" w:hanging="720"/>
        </w:pPr>
        <w:rPr>
          <w:rFonts w:hint="default"/>
          <w:b/>
        </w:rPr>
      </w:lvl>
    </w:lvlOverride>
    <w:lvlOverride w:ilvl="3">
      <w:lvl w:ilvl="3">
        <w:start w:val="1"/>
        <w:numFmt w:val="decimal"/>
        <w:lvlText w:val="%1.%2.%3.%4."/>
        <w:lvlJc w:val="left"/>
        <w:pPr>
          <w:ind w:left="2520" w:hanging="720"/>
        </w:pPr>
        <w:rPr>
          <w:rFonts w:hint="default"/>
        </w:rPr>
      </w:lvl>
    </w:lvlOverride>
    <w:lvlOverride w:ilvl="4">
      <w:lvl w:ilvl="4">
        <w:start w:val="1"/>
        <w:numFmt w:val="decimal"/>
        <w:lvlText w:val="%1.%2.%3.%4.%5."/>
        <w:lvlJc w:val="left"/>
        <w:pPr>
          <w:ind w:left="3240" w:hanging="360"/>
        </w:pPr>
        <w:rPr>
          <w:rFonts w:hint="default"/>
        </w:rPr>
      </w:lvl>
    </w:lvlOverride>
    <w:lvlOverride w:ilvl="5">
      <w:lvl w:ilvl="5">
        <w:start w:val="1"/>
        <w:numFmt w:val="decimal"/>
        <w:lvlText w:val="%1.%2.%3.%4.%5.%6."/>
        <w:lvlJc w:val="left"/>
        <w:pPr>
          <w:ind w:left="3960" w:hanging="360"/>
        </w:pPr>
        <w:rPr>
          <w:rFonts w:hint="default"/>
        </w:rPr>
      </w:lvl>
    </w:lvlOverride>
    <w:lvlOverride w:ilvl="6">
      <w:lvl w:ilvl="6">
        <w:start w:val="1"/>
        <w:numFmt w:val="decimal"/>
        <w:lvlText w:val="%1.%2.%3.%4.%5.%6.%7."/>
        <w:lvlJc w:val="left"/>
        <w:pPr>
          <w:ind w:left="4680" w:hanging="360"/>
        </w:pPr>
        <w:rPr>
          <w:rFonts w:hint="default"/>
        </w:rPr>
      </w:lvl>
    </w:lvlOverride>
    <w:lvlOverride w:ilvl="7">
      <w:lvl w:ilvl="7">
        <w:start w:val="1"/>
        <w:numFmt w:val="decimal"/>
        <w:lvlText w:val="%1.%2.%3.%4.%5.%6.%7.%8."/>
        <w:lvlJc w:val="left"/>
        <w:pPr>
          <w:ind w:left="5400" w:hanging="360"/>
        </w:pPr>
        <w:rPr>
          <w:rFonts w:hint="default"/>
        </w:rPr>
      </w:lvl>
    </w:lvlOverride>
    <w:lvlOverride w:ilvl="8">
      <w:lvl w:ilvl="8">
        <w:start w:val="1"/>
        <w:numFmt w:val="decimal"/>
        <w:lvlText w:val="%1.%2.%3.%4.%5.%6.%7.%8.%9."/>
        <w:lvlJc w:val="left"/>
        <w:pPr>
          <w:ind w:left="6120" w:hanging="360"/>
        </w:pPr>
        <w:rPr>
          <w:rFonts w:hint="default"/>
        </w:rPr>
      </w:lvl>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F8"/>
    <w:rsid w:val="0005325E"/>
    <w:rsid w:val="001226EB"/>
    <w:rsid w:val="00153C8A"/>
    <w:rsid w:val="00310E96"/>
    <w:rsid w:val="0040461A"/>
    <w:rsid w:val="004E2A42"/>
    <w:rsid w:val="00566D24"/>
    <w:rsid w:val="0057750B"/>
    <w:rsid w:val="006058D6"/>
    <w:rsid w:val="006700E7"/>
    <w:rsid w:val="00744C6E"/>
    <w:rsid w:val="00755C6B"/>
    <w:rsid w:val="007B614E"/>
    <w:rsid w:val="008E37BA"/>
    <w:rsid w:val="00A30C0A"/>
    <w:rsid w:val="00AC584D"/>
    <w:rsid w:val="00AF59F8"/>
    <w:rsid w:val="00B73151"/>
    <w:rsid w:val="00D51EFB"/>
    <w:rsid w:val="00E7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DCC3"/>
  <w15:docId w15:val="{C8D54B5E-DFB6-41B2-82BF-34A47418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F8"/>
    <w:pPr>
      <w:tabs>
        <w:tab w:val="center" w:pos="4680"/>
        <w:tab w:val="right" w:pos="9360"/>
      </w:tabs>
      <w:spacing w:line="240" w:lineRule="auto"/>
    </w:pPr>
  </w:style>
  <w:style w:type="character" w:customStyle="1" w:styleId="HeaderChar">
    <w:name w:val="Header Char"/>
    <w:basedOn w:val="DefaultParagraphFont"/>
    <w:link w:val="Header"/>
    <w:uiPriority w:val="99"/>
    <w:rsid w:val="00AF59F8"/>
  </w:style>
  <w:style w:type="paragraph" w:styleId="Footer">
    <w:name w:val="footer"/>
    <w:basedOn w:val="Normal"/>
    <w:link w:val="FooterChar"/>
    <w:uiPriority w:val="99"/>
    <w:unhideWhenUsed/>
    <w:rsid w:val="00AF59F8"/>
    <w:pPr>
      <w:tabs>
        <w:tab w:val="center" w:pos="4680"/>
        <w:tab w:val="right" w:pos="9360"/>
      </w:tabs>
      <w:spacing w:line="240" w:lineRule="auto"/>
    </w:pPr>
  </w:style>
  <w:style w:type="character" w:customStyle="1" w:styleId="FooterChar">
    <w:name w:val="Footer Char"/>
    <w:basedOn w:val="DefaultParagraphFont"/>
    <w:link w:val="Footer"/>
    <w:uiPriority w:val="99"/>
    <w:rsid w:val="00AF59F8"/>
  </w:style>
  <w:style w:type="paragraph" w:styleId="ListParagraph">
    <w:name w:val="List Paragraph"/>
    <w:basedOn w:val="Normal"/>
    <w:uiPriority w:val="34"/>
    <w:qFormat/>
    <w:rsid w:val="00AF59F8"/>
    <w:pPr>
      <w:ind w:left="720"/>
      <w:contextualSpacing/>
    </w:pPr>
  </w:style>
  <w:style w:type="numbering" w:customStyle="1" w:styleId="Sharon">
    <w:name w:val="Sharon"/>
    <w:uiPriority w:val="99"/>
    <w:rsid w:val="00AF59F8"/>
    <w:pPr>
      <w:numPr>
        <w:numId w:val="3"/>
      </w:numPr>
    </w:pPr>
  </w:style>
  <w:style w:type="paragraph" w:customStyle="1" w:styleId="ExhibitD3">
    <w:name w:val="ExhibitD3"/>
    <w:basedOn w:val="Normal"/>
    <w:rsid w:val="00744C6E"/>
    <w:pPr>
      <w:keepNext/>
      <w:tabs>
        <w:tab w:val="num" w:pos="2016"/>
        <w:tab w:val="left" w:pos="2592"/>
        <w:tab w:val="left" w:pos="4176"/>
        <w:tab w:val="left" w:pos="10710"/>
      </w:tabs>
      <w:spacing w:line="240" w:lineRule="auto"/>
      <w:ind w:left="2016" w:right="187" w:hanging="576"/>
      <w:jc w:val="left"/>
      <w:outlineLvl w:val="0"/>
    </w:pPr>
    <w:rPr>
      <w:rFonts w:ascii="Times New Roman" w:eastAsia="Times New Roman" w:hAnsi="Times New Roman" w:cs="Times New Roman"/>
      <w:sz w:val="24"/>
      <w:szCs w:val="20"/>
    </w:rPr>
  </w:style>
  <w:style w:type="paragraph" w:customStyle="1" w:styleId="ExhibitD2">
    <w:name w:val="ExhibitD2"/>
    <w:basedOn w:val="Normal"/>
    <w:rsid w:val="00744C6E"/>
    <w:pPr>
      <w:keepNext/>
      <w:tabs>
        <w:tab w:val="num" w:pos="1440"/>
        <w:tab w:val="left" w:pos="2016"/>
        <w:tab w:val="left" w:pos="2592"/>
        <w:tab w:val="left" w:pos="4176"/>
        <w:tab w:val="left" w:pos="10710"/>
      </w:tabs>
      <w:spacing w:line="240" w:lineRule="auto"/>
      <w:ind w:left="1440" w:right="187" w:hanging="720"/>
      <w:jc w:val="left"/>
      <w:outlineLvl w:val="0"/>
    </w:pPr>
    <w:rPr>
      <w:rFonts w:ascii="Times New Roman" w:eastAsia="Times New Roman" w:hAnsi="Times New Roman" w:cs="Times New Roman"/>
      <w:sz w:val="24"/>
      <w:szCs w:val="20"/>
    </w:rPr>
  </w:style>
  <w:style w:type="paragraph" w:customStyle="1" w:styleId="ExhibitD1">
    <w:name w:val="ExhibitD1"/>
    <w:basedOn w:val="BodyText"/>
    <w:rsid w:val="00744C6E"/>
    <w:pPr>
      <w:numPr>
        <w:numId w:val="4"/>
      </w:numPr>
      <w:tabs>
        <w:tab w:val="clear" w:pos="720"/>
        <w:tab w:val="num" w:pos="360"/>
      </w:tabs>
      <w:spacing w:after="0"/>
      <w:ind w:left="1440" w:hanging="360"/>
    </w:pPr>
    <w:rPr>
      <w:szCs w:val="20"/>
      <w:u w:val="single"/>
    </w:rPr>
  </w:style>
  <w:style w:type="paragraph" w:styleId="BodyText">
    <w:name w:val="Body Text"/>
    <w:basedOn w:val="Normal"/>
    <w:link w:val="BodyTextChar"/>
    <w:uiPriority w:val="99"/>
    <w:semiHidden/>
    <w:unhideWhenUsed/>
    <w:rsid w:val="00744C6E"/>
    <w:pPr>
      <w:spacing w:after="12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44C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4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B5409-360C-4C08-B416-894FBCC83920}">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306D9F5-8094-472B-B0A3-23BEB25A9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118F38-4231-4514-B90E-E84C2A1CF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Ventura Superior Court</cp:lastModifiedBy>
  <cp:revision>7</cp:revision>
  <dcterms:created xsi:type="dcterms:W3CDTF">2018-01-23T18:19:00Z</dcterms:created>
  <dcterms:modified xsi:type="dcterms:W3CDTF">2018-02-20T20:23:00Z</dcterms:modified>
</cp:coreProperties>
</file>